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B1103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B11035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B11035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2DDD8F3" w14:textId="13B2F714" w:rsidR="00881896" w:rsidRDefault="003F5718">
      <w:r>
        <w:lastRenderedPageBreak/>
        <w:fldChar w:fldCharType="end"/>
      </w:r>
    </w:p>
    <w:p w14:paraId="73D8D0B8" w14:textId="58E6C714" w:rsidR="00881896" w:rsidRDefault="009A3000">
      <w:pPr>
        <w:pStyle w:val="1"/>
      </w:pPr>
      <w:r>
        <w:rPr>
          <w:rFonts w:hint="eastAsia"/>
        </w:rPr>
        <w:t>适应范围</w:t>
      </w:r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r>
        <w:rPr>
          <w:rFonts w:hint="eastAsia"/>
        </w:rPr>
        <w:t>系统名称</w:t>
      </w:r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r>
        <w:rPr>
          <w:rFonts w:hint="eastAsia"/>
        </w:rPr>
        <w:t>报文格式</w:t>
      </w:r>
    </w:p>
    <w:p w14:paraId="5CCFC4C7" w14:textId="36631F4D" w:rsidR="00F6649D" w:rsidRPr="00F6649D" w:rsidRDefault="008A6A50" w:rsidP="008A6A50">
      <w:pPr>
        <w:pStyle w:val="2"/>
      </w:pPr>
      <w:r>
        <w:rPr>
          <w:rFonts w:hint="eastAsia"/>
        </w:rPr>
        <w:t>报文格式</w:t>
      </w:r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15056F92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C92C34" w14:paraId="7A01DC69" w14:textId="77777777" w:rsidTr="00BC484A">
        <w:tc>
          <w:tcPr>
            <w:tcW w:w="1129" w:type="dxa"/>
          </w:tcPr>
          <w:p w14:paraId="1BFB136A" w14:textId="62620AC1" w:rsidR="00C92C34" w:rsidRDefault="00C92C34" w:rsidP="008A6A50"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14:paraId="0A249065" w14:textId="399F9FA1" w:rsidR="00C92C34" w:rsidRDefault="00C92C34" w:rsidP="008A6A50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7C41FB9" w14:textId="483BAE7E" w:rsidR="00C92C34" w:rsidRDefault="00C92C34" w:rsidP="008A6A50"/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77D5B555" w:rsidR="00BC484A" w:rsidRDefault="00A6012F" w:rsidP="008A6A50">
            <w: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r>
        <w:rPr>
          <w:rFonts w:hint="eastAsia"/>
        </w:rPr>
        <w:t>起始域</w:t>
      </w:r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r>
        <w:rPr>
          <w:rFonts w:hint="eastAsia"/>
        </w:rPr>
        <w:t>长度</w:t>
      </w:r>
    </w:p>
    <w:p w14:paraId="65E0B765" w14:textId="68A13C76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长度用两个字节表示，指的是地址与、控制单元、命令字、数据域的长度。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lastRenderedPageBreak/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r>
        <w:rPr>
          <w:rFonts w:hint="eastAsia"/>
        </w:rPr>
        <w:t>地址域</w:t>
      </w:r>
    </w:p>
    <w:p w14:paraId="11748B11" w14:textId="603FAF3C" w:rsidR="0056028B" w:rsidRDefault="0056028B" w:rsidP="008A6A50"/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r>
        <w:rPr>
          <w:rFonts w:hint="eastAsia"/>
        </w:rPr>
        <w:t>控制单元</w:t>
      </w:r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6D94DD02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4D8D23A5" w:rsidR="00A61006" w:rsidRDefault="009B4AC5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278EF320" w14:textId="6BB0B55B" w:rsidR="00AB21B1" w:rsidRDefault="00AB21B1" w:rsidP="00AB21B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r>
        <w:rPr>
          <w:rFonts w:hint="eastAsia"/>
        </w:rPr>
        <w:t>设备类型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21C962EF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  <w:r w:rsidR="003346F8">
              <w:t>00</w:t>
            </w:r>
          </w:p>
        </w:tc>
        <w:tc>
          <w:tcPr>
            <w:tcW w:w="3834" w:type="dxa"/>
          </w:tcPr>
          <w:p w14:paraId="0E29C598" w14:textId="1443843B" w:rsidR="00E7706C" w:rsidRDefault="00A3417A" w:rsidP="00F133DA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</w:pPr>
      <w:r>
        <w:rPr>
          <w:rFonts w:hint="eastAsia"/>
        </w:rPr>
        <w:t>命令字</w:t>
      </w:r>
    </w:p>
    <w:p w14:paraId="1011CD69" w14:textId="73FA10D6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/>
    <w:p w14:paraId="79AE5E47" w14:textId="1DD59E3E" w:rsidR="00D10428" w:rsidRDefault="002D52D5" w:rsidP="002D52D5">
      <w:pPr>
        <w:pStyle w:val="3"/>
      </w:pPr>
      <w:r>
        <w:rPr>
          <w:rFonts w:hint="eastAsia"/>
        </w:rPr>
        <w:lastRenderedPageBreak/>
        <w:t>数据域</w:t>
      </w:r>
    </w:p>
    <w:p w14:paraId="226A4AF1" w14:textId="662BE800" w:rsidR="00692E52" w:rsidRDefault="005A19E5" w:rsidP="005A19E5">
      <w:pPr>
        <w:ind w:firstLineChars="300" w:firstLine="63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4DAE75F5" w14:textId="77777777" w:rsidR="00D10428" w:rsidRDefault="00D10428" w:rsidP="00AB21B1"/>
    <w:p w14:paraId="73A66E2C" w14:textId="11357ED7" w:rsidR="00AB21B1" w:rsidRDefault="006E5A45" w:rsidP="006E5A45">
      <w:pPr>
        <w:pStyle w:val="3"/>
      </w:pPr>
      <w:r>
        <w:rPr>
          <w:rFonts w:hint="eastAsia"/>
        </w:rPr>
        <w:t>校验</w:t>
      </w:r>
    </w:p>
    <w:p w14:paraId="4C4FB746" w14:textId="223C1BE9" w:rsidR="006E5A45" w:rsidRDefault="006E5A45" w:rsidP="006E5A45">
      <w:pPr>
        <w:ind w:left="420"/>
      </w:pPr>
      <w:r>
        <w:rPr>
          <w:rFonts w:hint="eastAsia"/>
        </w:rPr>
        <w:t>用于校验数据长度域的数据长度校验。校验采用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70779DB" w14:textId="134FF0E3" w:rsidR="00A12E96" w:rsidRDefault="00A12E96" w:rsidP="00A12E96">
      <w:pPr>
        <w:pStyle w:val="3"/>
      </w:pPr>
      <w:r>
        <w:rPr>
          <w:rFonts w:hint="eastAsia"/>
        </w:rPr>
        <w:t>结束域</w:t>
      </w:r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r>
        <w:rPr>
          <w:rFonts w:hint="eastAsia"/>
        </w:rPr>
        <w:t>数据报文定义</w:t>
      </w:r>
    </w:p>
    <w:p w14:paraId="0CE9A336" w14:textId="75EC9840" w:rsidR="006B6FE1" w:rsidRDefault="00C9494E" w:rsidP="00C9494E">
      <w:pPr>
        <w:pStyle w:val="2"/>
      </w:pPr>
      <w:r>
        <w:rPr>
          <w:rFonts w:hint="eastAsia"/>
        </w:rPr>
        <w:t>设备基本指令</w:t>
      </w:r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1A0C20CD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[CRC] 16</w:t>
      </w:r>
    </w:p>
    <w:p w14:paraId="2A37A18C" w14:textId="552F8570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4B1BC474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的地址；如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56F5E07C" w14:textId="40CC3F6C" w:rsidR="00CC2871" w:rsidRDefault="00CC2871"/>
    <w:p w14:paraId="76A9E1D8" w14:textId="77777777" w:rsidR="00B8328E" w:rsidRDefault="00B8328E"/>
    <w:p w14:paraId="6ADF6608" w14:textId="69628882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891159">
        <w:t xml:space="preserve"> </w:t>
      </w:r>
      <w:r>
        <w:t>[CRC] 16</w:t>
      </w:r>
    </w:p>
    <w:p w14:paraId="3A7B2A44" w14:textId="77777777" w:rsidR="00CA4A47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DF19415" w:rsidR="00B35D5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7CA9C271" w14:textId="13A5B599" w:rsidR="00B00364" w:rsidRDefault="00B00364"/>
    <w:p w14:paraId="573474CA" w14:textId="06BCBD64" w:rsidR="00B00364" w:rsidRDefault="00B00364"/>
    <w:p w14:paraId="11BA482C" w14:textId="59A646F2" w:rsidR="00B00364" w:rsidRDefault="00D20882">
      <w:r>
        <w:rPr>
          <w:rFonts w:hint="eastAsia"/>
        </w:rPr>
        <w:t>注：当登录不成功时，</w:t>
      </w:r>
      <w:r>
        <w:rPr>
          <w:rFonts w:hint="eastAsia"/>
        </w:rPr>
        <w:t>DEV</w:t>
      </w:r>
      <w:r>
        <w:rPr>
          <w:rFonts w:hint="eastAsia"/>
        </w:rPr>
        <w:t>会不停登录知道登录成功为止。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525BB273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4A48A966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BC495D">
        <w:rPr>
          <w:rFonts w:hint="eastAsia"/>
        </w:rPr>
        <w:t>GW</w:t>
      </w:r>
      <w:r w:rsidR="00BC495D">
        <w:rPr>
          <w:rFonts w:hint="eastAsia"/>
        </w:rPr>
        <w:t>的地址；如：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79726D9" w:rsidR="00BC495D" w:rsidRPr="00B15363" w:rsidRDefault="00BC495D">
      <w:r>
        <w:rPr>
          <w:rFonts w:hint="eastAsia"/>
        </w:rPr>
        <w:t>[</w:t>
      </w:r>
      <w:r>
        <w:t xml:space="preserve">para1] </w:t>
      </w:r>
      <w:r>
        <w:rPr>
          <w:rFonts w:hint="eastAsia"/>
        </w:rPr>
        <w:t>是可选参数。</w:t>
      </w:r>
    </w:p>
    <w:p w14:paraId="4D28C99E" w14:textId="77777777" w:rsidR="005F42DB" w:rsidRDefault="005F42DB"/>
    <w:p w14:paraId="54C6D3EB" w14:textId="420256FD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>
        <w:rPr>
          <w:rFonts w:hint="eastAsia"/>
        </w:rPr>
        <w:t>data</w:t>
      </w:r>
      <w:r>
        <w:t>1] 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F2F848C" w:rsidR="00FA47C4" w:rsidRDefault="00E6387B">
      <w:r>
        <w:rPr>
          <w:rFonts w:hint="eastAsia"/>
        </w:rPr>
        <w:t>注：如果</w:t>
      </w:r>
      <w:r>
        <w:rPr>
          <w:rFonts w:hint="eastAsia"/>
        </w:rPr>
        <w:t>GW</w:t>
      </w:r>
      <w:r>
        <w:rPr>
          <w:rFonts w:hint="eastAsia"/>
        </w:rPr>
        <w:t>连续三次发送心跳包都未能收到服务器的回应时，</w:t>
      </w:r>
      <w:r>
        <w:rPr>
          <w:rFonts w:hint="eastAsia"/>
        </w:rPr>
        <w:t>GW</w:t>
      </w:r>
      <w:r>
        <w:rPr>
          <w:rFonts w:hint="eastAsia"/>
        </w:rPr>
        <w:t>重新连接服务器。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48D6612C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15DF1">
        <w:rPr>
          <w:rFonts w:hint="eastAsia"/>
        </w:rPr>
        <w:t>para</w:t>
      </w:r>
      <w:r>
        <w:t>1] 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0EDB5513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B56B225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[CRC] 16</w:t>
      </w:r>
    </w:p>
    <w:p w14:paraId="5BFD77E8" w14:textId="1D09739E" w:rsidR="0054563E" w:rsidRDefault="0054563E" w:rsidP="0054563E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5CC422FC" w:rsidR="00624B5B" w:rsidRDefault="006B11C3" w:rsidP="006B11C3">
      <w:pPr>
        <w:pStyle w:val="2"/>
      </w:pPr>
      <w:r>
        <w:rPr>
          <w:rFonts w:hint="eastAsia"/>
        </w:rPr>
        <w:t>主动上报指令</w:t>
      </w:r>
    </w:p>
    <w:p w14:paraId="6CDEA9E6" w14:textId="7402F643" w:rsidR="006B11C3" w:rsidRDefault="00B1757F" w:rsidP="00B1757F">
      <w:pPr>
        <w:pStyle w:val="3"/>
      </w:pPr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</w:p>
    <w:p w14:paraId="7250D308" w14:textId="507BA6D5" w:rsidR="006B11C3" w:rsidRDefault="006B11C3"/>
    <w:p w14:paraId="32BC267A" w14:textId="669E58C2" w:rsidR="00DE4EE7" w:rsidRDefault="00DE4EE7"/>
    <w:p w14:paraId="63C00462" w14:textId="7F22CB10" w:rsidR="00DE4EE7" w:rsidRDefault="00DE4EE7"/>
    <w:p w14:paraId="74D52C34" w14:textId="682AC622" w:rsidR="00DE4EE7" w:rsidRDefault="00DE4EE7"/>
    <w:p w14:paraId="4BFFE55C" w14:textId="21186978" w:rsidR="00DE4EE7" w:rsidRDefault="00000347" w:rsidP="00000347">
      <w:pPr>
        <w:pStyle w:val="3"/>
        <w:rPr>
          <w:rFonts w:hint="eastAsia"/>
        </w:rPr>
      </w:pPr>
      <w:r>
        <w:rPr>
          <w:rFonts w:hint="eastAsia"/>
        </w:rPr>
        <w:t>故障指令</w:t>
      </w:r>
    </w:p>
    <w:p w14:paraId="03820551" w14:textId="77777777" w:rsidR="006B11C3" w:rsidRDefault="006B11C3">
      <w:bookmarkStart w:id="1" w:name="_GoBack"/>
      <w:bookmarkEnd w:id="1"/>
    </w:p>
    <w:p w14:paraId="5FC4D379" w14:textId="3C49B6A8" w:rsidR="00624B5B" w:rsidRDefault="00624B5B"/>
    <w:p w14:paraId="72F1144F" w14:textId="73F9CB9A" w:rsidR="00624B5B" w:rsidRDefault="00817EDF" w:rsidP="00E10C54">
      <w:pPr>
        <w:pStyle w:val="2"/>
      </w:pPr>
      <w:r>
        <w:rPr>
          <w:rFonts w:hint="eastAsia"/>
        </w:rPr>
        <w:t>文件</w:t>
      </w:r>
      <w:r w:rsidR="00B10987">
        <w:rPr>
          <w:rFonts w:hint="eastAsia"/>
        </w:rPr>
        <w:t>操作</w:t>
      </w:r>
      <w:r w:rsidR="00E10C54">
        <w:rPr>
          <w:rFonts w:hint="eastAsia"/>
        </w:rPr>
        <w:t>指令</w:t>
      </w:r>
    </w:p>
    <w:p w14:paraId="5BC179C6" w14:textId="734F36EE" w:rsidR="00624B5B" w:rsidRDefault="00624B5B"/>
    <w:p w14:paraId="40FB4285" w14:textId="3C213CF0" w:rsidR="00624B5B" w:rsidRDefault="00624B5B"/>
    <w:p w14:paraId="622BA5DE" w14:textId="77777777" w:rsidR="00624B5B" w:rsidRDefault="00624B5B"/>
    <w:p w14:paraId="53F14D47" w14:textId="6510BCFC" w:rsidR="00881896" w:rsidRDefault="00881896"/>
    <w:p w14:paraId="4E2EF66C" w14:textId="07B8C934" w:rsidR="00FA47C4" w:rsidRDefault="00FA47C4"/>
    <w:p w14:paraId="570B96C6" w14:textId="03F956FA" w:rsidR="00FA47C4" w:rsidRDefault="00FA47C4"/>
    <w:p w14:paraId="0F8A6753" w14:textId="3B7167F8" w:rsidR="00FA47C4" w:rsidRDefault="00FA47C4"/>
    <w:p w14:paraId="08AE789A" w14:textId="22C03FE7" w:rsidR="00FA47C4" w:rsidRDefault="00FA47C4"/>
    <w:p w14:paraId="44604135" w14:textId="02816DCF" w:rsidR="00FA47C4" w:rsidRDefault="00FA47C4"/>
    <w:p w14:paraId="3A5E4B75" w14:textId="090D4932" w:rsidR="00FA47C4" w:rsidRDefault="00FA47C4"/>
    <w:p w14:paraId="5DBDB60A" w14:textId="77777777" w:rsidR="00FA47C4" w:rsidRDefault="00FA47C4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98471" w14:textId="77777777" w:rsidR="00B11035" w:rsidRDefault="00B11035">
      <w:pPr>
        <w:spacing w:line="240" w:lineRule="auto"/>
      </w:pPr>
      <w:r>
        <w:separator/>
      </w:r>
    </w:p>
  </w:endnote>
  <w:endnote w:type="continuationSeparator" w:id="0">
    <w:p w14:paraId="445C55E5" w14:textId="77777777" w:rsidR="00B11035" w:rsidRDefault="00B110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5543F32B" w:rsidR="00624B5B" w:rsidRDefault="00624B5B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034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034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624B5B" w:rsidRDefault="00624B5B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540A" w14:textId="77777777" w:rsidR="00B11035" w:rsidRDefault="00B11035">
      <w:pPr>
        <w:spacing w:line="240" w:lineRule="auto"/>
      </w:pPr>
      <w:r>
        <w:separator/>
      </w:r>
    </w:p>
  </w:footnote>
  <w:footnote w:type="continuationSeparator" w:id="0">
    <w:p w14:paraId="15746103" w14:textId="77777777" w:rsidR="00B11035" w:rsidRDefault="00B110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624B5B" w:rsidRDefault="00624B5B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32D20B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1D78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FBB"/>
    <w:rsid w:val="000D3363"/>
    <w:rsid w:val="000D43C3"/>
    <w:rsid w:val="000D5351"/>
    <w:rsid w:val="000E5940"/>
    <w:rsid w:val="000F22EE"/>
    <w:rsid w:val="000F2B87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6906"/>
    <w:rsid w:val="00123FAD"/>
    <w:rsid w:val="00132510"/>
    <w:rsid w:val="00135762"/>
    <w:rsid w:val="00135F6C"/>
    <w:rsid w:val="00140D58"/>
    <w:rsid w:val="00143B40"/>
    <w:rsid w:val="00143FFC"/>
    <w:rsid w:val="0015006B"/>
    <w:rsid w:val="0015030D"/>
    <w:rsid w:val="0015196D"/>
    <w:rsid w:val="00152FB1"/>
    <w:rsid w:val="00161005"/>
    <w:rsid w:val="001610D0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30A3"/>
    <w:rsid w:val="00196527"/>
    <w:rsid w:val="00196BC0"/>
    <w:rsid w:val="00197EAE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E3231"/>
    <w:rsid w:val="001E6852"/>
    <w:rsid w:val="001F4AC6"/>
    <w:rsid w:val="00203651"/>
    <w:rsid w:val="002134B0"/>
    <w:rsid w:val="0021770F"/>
    <w:rsid w:val="00220959"/>
    <w:rsid w:val="0022309B"/>
    <w:rsid w:val="00227BF7"/>
    <w:rsid w:val="00231441"/>
    <w:rsid w:val="002316C9"/>
    <w:rsid w:val="00233372"/>
    <w:rsid w:val="0023437C"/>
    <w:rsid w:val="002378AD"/>
    <w:rsid w:val="0024712A"/>
    <w:rsid w:val="00247BAE"/>
    <w:rsid w:val="00271C4E"/>
    <w:rsid w:val="00272F1E"/>
    <w:rsid w:val="00277A83"/>
    <w:rsid w:val="00291380"/>
    <w:rsid w:val="00292D51"/>
    <w:rsid w:val="00292FDE"/>
    <w:rsid w:val="00297316"/>
    <w:rsid w:val="002A3EE6"/>
    <w:rsid w:val="002A44BA"/>
    <w:rsid w:val="002A7E12"/>
    <w:rsid w:val="002B143F"/>
    <w:rsid w:val="002B4B22"/>
    <w:rsid w:val="002B6E19"/>
    <w:rsid w:val="002C16A9"/>
    <w:rsid w:val="002D2B3F"/>
    <w:rsid w:val="002D3363"/>
    <w:rsid w:val="002D3E59"/>
    <w:rsid w:val="002D4831"/>
    <w:rsid w:val="002D52D5"/>
    <w:rsid w:val="002D5E1E"/>
    <w:rsid w:val="002E042D"/>
    <w:rsid w:val="002E05E5"/>
    <w:rsid w:val="002E160C"/>
    <w:rsid w:val="002E26DA"/>
    <w:rsid w:val="002E4A79"/>
    <w:rsid w:val="002E5BA0"/>
    <w:rsid w:val="002F04CA"/>
    <w:rsid w:val="002F29C7"/>
    <w:rsid w:val="00300229"/>
    <w:rsid w:val="00302684"/>
    <w:rsid w:val="00306C5A"/>
    <w:rsid w:val="00310026"/>
    <w:rsid w:val="0031431E"/>
    <w:rsid w:val="00314680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6130F"/>
    <w:rsid w:val="003621D1"/>
    <w:rsid w:val="00367B03"/>
    <w:rsid w:val="00372432"/>
    <w:rsid w:val="00376891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D407D"/>
    <w:rsid w:val="003E2B1E"/>
    <w:rsid w:val="003F0A8E"/>
    <w:rsid w:val="003F5718"/>
    <w:rsid w:val="004050ED"/>
    <w:rsid w:val="00411163"/>
    <w:rsid w:val="0041187C"/>
    <w:rsid w:val="00413BB6"/>
    <w:rsid w:val="00415FC5"/>
    <w:rsid w:val="004207B3"/>
    <w:rsid w:val="00424CC5"/>
    <w:rsid w:val="004273CB"/>
    <w:rsid w:val="00433D1C"/>
    <w:rsid w:val="004346BD"/>
    <w:rsid w:val="00440254"/>
    <w:rsid w:val="0044064F"/>
    <w:rsid w:val="00455B51"/>
    <w:rsid w:val="00455D98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0E4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531E"/>
    <w:rsid w:val="00506D71"/>
    <w:rsid w:val="00512C89"/>
    <w:rsid w:val="00514740"/>
    <w:rsid w:val="00531B18"/>
    <w:rsid w:val="00535B39"/>
    <w:rsid w:val="0053618F"/>
    <w:rsid w:val="00536F7F"/>
    <w:rsid w:val="0054432C"/>
    <w:rsid w:val="00544C08"/>
    <w:rsid w:val="0054563E"/>
    <w:rsid w:val="0054698F"/>
    <w:rsid w:val="00547BB4"/>
    <w:rsid w:val="00550FB9"/>
    <w:rsid w:val="00552996"/>
    <w:rsid w:val="0056028B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B5B"/>
    <w:rsid w:val="00630FC8"/>
    <w:rsid w:val="006431D4"/>
    <w:rsid w:val="00643AEB"/>
    <w:rsid w:val="006447C5"/>
    <w:rsid w:val="006605DA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7632"/>
    <w:rsid w:val="006F50B2"/>
    <w:rsid w:val="006F7BAF"/>
    <w:rsid w:val="00702A99"/>
    <w:rsid w:val="00702D21"/>
    <w:rsid w:val="00703822"/>
    <w:rsid w:val="00703D9A"/>
    <w:rsid w:val="007045B8"/>
    <w:rsid w:val="007217D1"/>
    <w:rsid w:val="007261C7"/>
    <w:rsid w:val="007273FF"/>
    <w:rsid w:val="00732341"/>
    <w:rsid w:val="00736665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026D"/>
    <w:rsid w:val="00792B77"/>
    <w:rsid w:val="007A4373"/>
    <w:rsid w:val="007B04E7"/>
    <w:rsid w:val="007B1FEF"/>
    <w:rsid w:val="007B71C7"/>
    <w:rsid w:val="007B7324"/>
    <w:rsid w:val="007C295B"/>
    <w:rsid w:val="007C6752"/>
    <w:rsid w:val="007D3489"/>
    <w:rsid w:val="007D4A7D"/>
    <w:rsid w:val="007D6783"/>
    <w:rsid w:val="007D7F7F"/>
    <w:rsid w:val="007E4A6A"/>
    <w:rsid w:val="007E51C5"/>
    <w:rsid w:val="007E5B4C"/>
    <w:rsid w:val="007F23D7"/>
    <w:rsid w:val="007F3AF4"/>
    <w:rsid w:val="008019B0"/>
    <w:rsid w:val="00802CF8"/>
    <w:rsid w:val="008168FA"/>
    <w:rsid w:val="00816DE5"/>
    <w:rsid w:val="00817EDF"/>
    <w:rsid w:val="00823E1E"/>
    <w:rsid w:val="00824CBC"/>
    <w:rsid w:val="008270A5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017"/>
    <w:rsid w:val="00883606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369F"/>
    <w:rsid w:val="008C1B9E"/>
    <w:rsid w:val="008C46FC"/>
    <w:rsid w:val="008C4C67"/>
    <w:rsid w:val="008C5841"/>
    <w:rsid w:val="008C7166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25603"/>
    <w:rsid w:val="00934FEF"/>
    <w:rsid w:val="00936EC2"/>
    <w:rsid w:val="00940C90"/>
    <w:rsid w:val="009455AA"/>
    <w:rsid w:val="00946B9B"/>
    <w:rsid w:val="00946BFE"/>
    <w:rsid w:val="00947BA6"/>
    <w:rsid w:val="00947E83"/>
    <w:rsid w:val="0095517E"/>
    <w:rsid w:val="00956B9A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F97"/>
    <w:rsid w:val="009D25CD"/>
    <w:rsid w:val="009D7F4E"/>
    <w:rsid w:val="009E008A"/>
    <w:rsid w:val="009E149F"/>
    <w:rsid w:val="009E50F4"/>
    <w:rsid w:val="009E68E6"/>
    <w:rsid w:val="009F060B"/>
    <w:rsid w:val="009F29A2"/>
    <w:rsid w:val="009F5937"/>
    <w:rsid w:val="009F5B7C"/>
    <w:rsid w:val="009F777D"/>
    <w:rsid w:val="00A00B1F"/>
    <w:rsid w:val="00A00E94"/>
    <w:rsid w:val="00A11A33"/>
    <w:rsid w:val="00A12E96"/>
    <w:rsid w:val="00A2244D"/>
    <w:rsid w:val="00A31646"/>
    <w:rsid w:val="00A332F1"/>
    <w:rsid w:val="00A3417A"/>
    <w:rsid w:val="00A35D75"/>
    <w:rsid w:val="00A368E2"/>
    <w:rsid w:val="00A428D3"/>
    <w:rsid w:val="00A432E5"/>
    <w:rsid w:val="00A54F79"/>
    <w:rsid w:val="00A6012F"/>
    <w:rsid w:val="00A60393"/>
    <w:rsid w:val="00A61006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5DC4"/>
    <w:rsid w:val="00A96012"/>
    <w:rsid w:val="00A97BCB"/>
    <w:rsid w:val="00A97EB5"/>
    <w:rsid w:val="00AA25AE"/>
    <w:rsid w:val="00AA39A7"/>
    <w:rsid w:val="00AA4169"/>
    <w:rsid w:val="00AB1FAA"/>
    <w:rsid w:val="00AB21B1"/>
    <w:rsid w:val="00AB3272"/>
    <w:rsid w:val="00AC0E05"/>
    <w:rsid w:val="00AC107C"/>
    <w:rsid w:val="00AC1FDE"/>
    <w:rsid w:val="00AC4A13"/>
    <w:rsid w:val="00AC7621"/>
    <w:rsid w:val="00AD1273"/>
    <w:rsid w:val="00AD35AA"/>
    <w:rsid w:val="00AD4512"/>
    <w:rsid w:val="00AD5CCB"/>
    <w:rsid w:val="00AE1CF7"/>
    <w:rsid w:val="00AE331F"/>
    <w:rsid w:val="00AE59A5"/>
    <w:rsid w:val="00AE7D13"/>
    <w:rsid w:val="00AF1D3D"/>
    <w:rsid w:val="00AF1F87"/>
    <w:rsid w:val="00AF2F4B"/>
    <w:rsid w:val="00AF521A"/>
    <w:rsid w:val="00AF5621"/>
    <w:rsid w:val="00B00364"/>
    <w:rsid w:val="00B022F0"/>
    <w:rsid w:val="00B02BE6"/>
    <w:rsid w:val="00B0639D"/>
    <w:rsid w:val="00B0738B"/>
    <w:rsid w:val="00B07EEA"/>
    <w:rsid w:val="00B10987"/>
    <w:rsid w:val="00B11035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9B7"/>
    <w:rsid w:val="00B26C0F"/>
    <w:rsid w:val="00B272CF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5306"/>
    <w:rsid w:val="00B70F1E"/>
    <w:rsid w:val="00B70FF6"/>
    <w:rsid w:val="00B74251"/>
    <w:rsid w:val="00B76890"/>
    <w:rsid w:val="00B8328E"/>
    <w:rsid w:val="00B85FCE"/>
    <w:rsid w:val="00B86B44"/>
    <w:rsid w:val="00B87F9F"/>
    <w:rsid w:val="00B96A11"/>
    <w:rsid w:val="00BA7476"/>
    <w:rsid w:val="00BB1FE6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84A"/>
    <w:rsid w:val="00BC495D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75C7"/>
    <w:rsid w:val="00C221A3"/>
    <w:rsid w:val="00C23ACB"/>
    <w:rsid w:val="00C249B1"/>
    <w:rsid w:val="00C27E1A"/>
    <w:rsid w:val="00C334F7"/>
    <w:rsid w:val="00C352B0"/>
    <w:rsid w:val="00C40092"/>
    <w:rsid w:val="00C43710"/>
    <w:rsid w:val="00C46EE2"/>
    <w:rsid w:val="00C47962"/>
    <w:rsid w:val="00C53F54"/>
    <w:rsid w:val="00C544A4"/>
    <w:rsid w:val="00C5744B"/>
    <w:rsid w:val="00C60500"/>
    <w:rsid w:val="00C669C1"/>
    <w:rsid w:val="00C704E3"/>
    <w:rsid w:val="00C72D26"/>
    <w:rsid w:val="00C82A3A"/>
    <w:rsid w:val="00C84891"/>
    <w:rsid w:val="00C84A1A"/>
    <w:rsid w:val="00C9080C"/>
    <w:rsid w:val="00C91A0B"/>
    <w:rsid w:val="00C92C34"/>
    <w:rsid w:val="00C9494E"/>
    <w:rsid w:val="00C97167"/>
    <w:rsid w:val="00CA4A47"/>
    <w:rsid w:val="00CB1BFE"/>
    <w:rsid w:val="00CB1D43"/>
    <w:rsid w:val="00CB59AF"/>
    <w:rsid w:val="00CB7884"/>
    <w:rsid w:val="00CC2871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538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F9C"/>
    <w:rsid w:val="00DB55B4"/>
    <w:rsid w:val="00DB6CC2"/>
    <w:rsid w:val="00DC1067"/>
    <w:rsid w:val="00DC19E4"/>
    <w:rsid w:val="00DC1D4A"/>
    <w:rsid w:val="00DC2D99"/>
    <w:rsid w:val="00DC4A26"/>
    <w:rsid w:val="00DC5550"/>
    <w:rsid w:val="00DD5210"/>
    <w:rsid w:val="00DE02FA"/>
    <w:rsid w:val="00DE0487"/>
    <w:rsid w:val="00DE3EF5"/>
    <w:rsid w:val="00DE4EE7"/>
    <w:rsid w:val="00DE6B47"/>
    <w:rsid w:val="00DF37C2"/>
    <w:rsid w:val="00DF7235"/>
    <w:rsid w:val="00DF7D42"/>
    <w:rsid w:val="00E1032B"/>
    <w:rsid w:val="00E10C54"/>
    <w:rsid w:val="00E17326"/>
    <w:rsid w:val="00E2060E"/>
    <w:rsid w:val="00E20A2B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387B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79B6"/>
    <w:rsid w:val="00EA7DC1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F1050"/>
    <w:rsid w:val="00F07D73"/>
    <w:rsid w:val="00F133DA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4134"/>
    <w:rsid w:val="00F36EB0"/>
    <w:rsid w:val="00F47906"/>
    <w:rsid w:val="00F52E78"/>
    <w:rsid w:val="00F53825"/>
    <w:rsid w:val="00F6448C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1895"/>
    <w:rsid w:val="00F925DA"/>
    <w:rsid w:val="00F93BEB"/>
    <w:rsid w:val="00F972DB"/>
    <w:rsid w:val="00FA0804"/>
    <w:rsid w:val="00FA47C4"/>
    <w:rsid w:val="00FA4EB5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22F27F-08AC-47F3-9D22-3F8E9CCB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792</cp:revision>
  <dcterms:created xsi:type="dcterms:W3CDTF">2017-02-16T07:30:00Z</dcterms:created>
  <dcterms:modified xsi:type="dcterms:W3CDTF">2017-11-14T10:05:00Z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