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1200"/>
      </w:pPr>
      <w:r>
        <w:rPr>
          <w:sz w:val="20"/>
          <w:szCs w:val="20"/>
        </w:rPr>
        <w:t xml:space="preserve"/>
      </w:r>
    </w:p>
    <w:p>
      <w:pPr>
        <w:jc w:val="center"/>
      </w:pPr>
      <w:r>
        <w:rPr>
          <w:rFonts w:ascii="Calibri" w:cs="Calibri" w:eastAsia="Calibri" w:hAnsi="Calibri"/>
          <w:b/>
          <w:bCs/>
          <w:color w:val="0D1B4B"/>
          <w:sz w:val="120"/>
          <w:szCs w:val="120"/>
        </w:rPr>
        <w:t xml:space="preserve">KIN</w:t>
      </w:r>
    </w:p>
    <w:p>
      <w:pPr>
        <w:spacing w:after="20" w:before="20"/>
        <w:jc w:val="center"/>
      </w:pPr>
      <w:r>
        <w:rPr>
          <w:rFonts w:ascii="Calibri" w:cs="Calibri" w:eastAsia="Calibri" w:hAnsi="Calibri"/>
          <w:color w:val="C9A84C"/>
          <w:sz w:val="30"/>
          <w:szCs w:val="30"/>
        </w:rPr>
        <w:t xml:space="preserve">Mobile Smart Banking  ·  Jamaica &amp; the Caribbean</w:t>
      </w:r>
    </w:p>
    <w:p>
      <w:pPr>
        <w:spacing w:after="60" w:before="60"/>
        <w:jc w:val="center"/>
      </w:pPr>
      <w:r>
        <w:rPr>
          <w:rFonts w:ascii="Calibri" w:cs="Calibri" w:eastAsia="Calibri" w:hAnsi="Calibri"/>
          <w:color w:val="C9A84C"/>
          <w:sz w:val="22"/>
          <w:szCs w:val="22"/>
        </w:rPr>
        <w:t xml:space="preserve">─────────────────────────────────────────────</w:t>
      </w:r>
    </w:p>
    <w:p>
      <w:pPr>
        <w:spacing w:after="20" w:before="40"/>
        <w:jc w:val="center"/>
      </w:pPr>
      <w:r>
        <w:rPr>
          <w:rFonts w:ascii="Calibri" w:cs="Calibri" w:eastAsia="Calibri" w:hAnsi="Calibri"/>
          <w:b/>
          <w:bCs/>
          <w:color w:val="0D1B4B"/>
          <w:sz w:val="38"/>
          <w:szCs w:val="38"/>
        </w:rPr>
        <w:t xml:space="preserve">INVESTOR BRIEFING DOCUMENT</w:t>
      </w:r>
    </w:p>
    <w:p>
      <w:pPr>
        <w:spacing w:after="40" w:before="20"/>
        <w:jc w:val="center"/>
      </w:pPr>
      <w:r>
        <w:rPr>
          <w:rFonts w:ascii="Calibri" w:cs="Calibri" w:eastAsia="Calibri" w:hAnsi="Calibri"/>
          <w:color w:val="555555"/>
          <w:sz w:val="26"/>
          <w:szCs w:val="26"/>
        </w:rPr>
        <w:t xml:space="preserve">Stablecoin-Powered Debit Card Programme</w:t>
      </w:r>
    </w:p>
    <w:p>
      <w:pPr>
        <w:spacing w:after="500" w:before="500"/>
      </w:pPr>
      <w:r>
        <w:rPr>
          <w:sz w:val="20"/>
          <w:szCs w:val="20"/>
        </w:rPr>
        <w:t xml:space="preserve"/>
      </w:r>
    </w:p>
    <w:p>
      <w:pPr>
        <w:jc w:val="center"/>
      </w:pPr>
      <w:r>
        <w:rPr>
          <w:rFonts w:ascii="Calibri" w:cs="Calibri" w:eastAsia="Calibri" w:hAnsi="Calibri"/>
          <w:color w:val="555555"/>
          <w:sz w:val="20"/>
          <w:szCs w:val="20"/>
        </w:rPr>
        <w:t xml:space="preserve">Prepared for: Crowdfunding &amp; Private Investor Presentation</w:t>
      </w:r>
    </w:p>
    <w:p>
      <w:pPr>
        <w:spacing w:after="0" w:before="20"/>
        <w:jc w:val="center"/>
      </w:pPr>
      <w:r>
        <w:rPr>
          <w:rFonts w:ascii="Calibri" w:cs="Calibri" w:eastAsia="Calibri" w:hAnsi="Calibri"/>
          <w:color w:val="555555"/>
          <w:sz w:val="20"/>
          <w:szCs w:val="20"/>
        </w:rPr>
        <w:t xml:space="preserve">Confidential  ·  May 2026</w:t>
      </w:r>
    </w:p>
    <w:p>
      <w:r>
        <w:br w:type="page"/>
      </w:r>
    </w:p>
    <w:p>
      <w:pPr>
        <w:pBdr>
          <w:bottom w:val="single" w:color="C9A84C" w:sz="8" w:space="4"/>
        </w:pBdr>
        <w:spacing w:after="160" w:before="400"/>
      </w:pPr>
      <w:r>
        <w:rPr>
          <w:rFonts w:ascii="Calibri" w:cs="Calibri" w:eastAsia="Calibri" w:hAnsi="Calibri"/>
          <w:b/>
          <w:bCs/>
          <w:color w:val="0D1B4B"/>
          <w:sz w:val="36"/>
          <w:szCs w:val="36"/>
        </w:rPr>
        <w:t xml:space="preserve">1. Executive Summary</w:t>
      </w:r>
    </w:p>
    <w:p>
      <w:pPr>
        <w:spacing w:after="60" w:before="60"/>
      </w:pPr>
      <w:r>
        <w:rPr>
          <w:rFonts w:ascii="Calibri" w:cs="Calibri" w:eastAsia="Calibri" w:hAnsi="Calibri"/>
          <w:b w:val="false"/>
          <w:bCs w:val="false"/>
          <w:color w:val="111111"/>
          <w:sz w:val="20"/>
          <w:szCs w:val="20"/>
        </w:rPr>
        <w:t xml:space="preserve">Kin is a mobile-first smart banking application designed for Jamaica and the wider Caribbean. Our mission is to give every Caribbean resident access to a world-class digital financial experience through an intuitive app, a branded Visa debit card, and a stablecoin-powered payments infrastructure that makes cross-border and cross-currency transactions fast, cheap, and transparent.</w:t>
      </w:r>
    </w:p>
    <w:p>
      <w:pPr>
        <w:spacing w:after="100" w:before="100"/>
      </w:pPr>
      <w:r>
        <w:rPr>
          <w:sz w:val="20"/>
          <w:szCs w:val="20"/>
        </w:rPr>
        <w:t xml:space="preserve"/>
      </w:r>
    </w:p>
    <w:p>
      <w:pPr>
        <w:spacing w:after="60" w:before="60"/>
      </w:pPr>
      <w:r>
        <w:rPr>
          <w:rFonts w:ascii="Calibri" w:cs="Calibri" w:eastAsia="Calibri" w:hAnsi="Calibri"/>
          <w:b w:val="false"/>
          <w:bCs w:val="false"/>
          <w:color w:val="111111"/>
          <w:sz w:val="20"/>
          <w:szCs w:val="20"/>
        </w:rPr>
        <w:t xml:space="preserve">The Caribbean is significantly underserved by traditional banking. Jamaica alone has nearly 3 million people with limited access to modern financial tools. Kin solves this with a stablecoin-rails approach that eliminates the cost and complexity of multi-currency fiat banking while unlocking revenue streams unavailable to traditional neobanks.</w:t>
      </w:r>
    </w:p>
    <w:p>
      <w:pPr>
        <w:spacing w:after="100" w:before="100"/>
      </w:pPr>
      <w:r>
        <w:rPr>
          <w:sz w:val="20"/>
          <w:szCs w:val="20"/>
        </w:rPr>
        <w:t xml:space="preserve"/>
      </w:r>
    </w:p>
    <w:p>
      <w:pPr>
        <w:pBdr>
          <w:left w:val="single" w:color="C9A84C" w:sz="18" w:space="8"/>
        </w:pBdr>
        <w:shd w:fill="FDF3DC" w:val="clear"/>
        <w:spacing w:after="140" w:before="140"/>
      </w:pPr>
      <w:r>
        <w:rPr>
          <w:rFonts w:ascii="Calibri" w:cs="Calibri" w:eastAsia="Calibri" w:hAnsi="Calibri"/>
          <w:i/>
          <w:iCs/>
          <w:color w:val="0D1B4B"/>
          <w:sz w:val="20"/>
          <w:szCs w:val="20"/>
        </w:rPr>
        <w:t xml:space="preserve">Key Investment Proposition: Kin can launch a fully functional card programme for 35–55% less than a traditional fiat route, reach breakeven at approximately 5,000 active users, and generate estimated annual revenue of $1.1M+ at 10,000 users — driven by interchange, FX conversion margins, premium subscriptions, and stablecoin yield.</w:t>
      </w:r>
    </w:p>
    <w:p>
      <w:pPr>
        <w:spacing w:after="100" w:before="10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0D1B4B" w:val="clear"/>
            <w:tcMar>
              <w:top w:type="dxa" w:w="60"/>
              <w:left w:type="dxa" w:w="120"/>
              <w:bottom w:type="dxa" w:w="60"/>
              <w:right w:type="dxa" w:w="120"/>
            </w:tcMar>
            <w:vAlign w:val="center"/>
          </w:tcPr>
          <w:p>
            <w:pPr>
              <w:jc w:val="center"/>
            </w:pPr>
            <w:r>
              <w:rPr>
                <w:rFonts w:ascii="Calibri" w:cs="Calibri" w:eastAsia="Calibri" w:hAnsi="Calibri"/>
                <w:b/>
                <w:bCs/>
                <w:color w:val="FFFFFF"/>
                <w:sz w:val="20"/>
                <w:szCs w:val="20"/>
              </w:rPr>
              <w:t xml:space="preserve">METRIC</w:t>
            </w:r>
          </w:p>
        </w:tc>
        <w:tc>
          <w:tcPr>
            <w:tcW w:type="dxa" w:w="6240"/>
            <w:tcBorders>
              <w:top w:val="single" w:color="CCCCCC" w:sz="1"/>
              <w:left w:val="single" w:color="CCCCCC" w:sz="1"/>
              <w:bottom w:val="single" w:color="CCCCCC" w:sz="1"/>
              <w:right w:val="single" w:color="CCCCCC" w:sz="1"/>
            </w:tcBorders>
            <w:shd w:fill="0D1B4B" w:val="clear"/>
            <w:tcMar>
              <w:top w:type="dxa" w:w="60"/>
              <w:left w:type="dxa" w:w="120"/>
              <w:bottom w:type="dxa" w:w="60"/>
              <w:right w:type="dxa" w:w="120"/>
            </w:tcMar>
            <w:vAlign w:val="center"/>
          </w:tcPr>
          <w:p>
            <w:pPr>
              <w:jc w:val="center"/>
            </w:pPr>
            <w:r>
              <w:rPr>
                <w:rFonts w:ascii="Calibri" w:cs="Calibri" w:eastAsia="Calibri" w:hAnsi="Calibri"/>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E8EEF9" w:val="clear"/>
            <w:tcMar>
              <w:top w:type="dxa" w:w="90"/>
              <w:left w:type="dxa" w:w="140"/>
              <w:bottom w:type="dxa" w:w="90"/>
              <w:right w:type="dxa" w:w="140"/>
            </w:tcMar>
            <w:vAlign w:val="center"/>
          </w:tcPr>
          <w:p>
            <w:pPr>
              <w:jc w:val="left"/>
            </w:pPr>
            <w:r>
              <w:rPr>
                <w:rFonts w:ascii="Calibri" w:cs="Calibri" w:eastAsia="Calibri" w:hAnsi="Calibri"/>
                <w:b/>
                <w:bCs/>
                <w:color w:val="111111"/>
                <w:sz w:val="19"/>
                <w:szCs w:val="19"/>
              </w:rPr>
              <w:t xml:space="preserve">Target Markets</w:t>
            </w:r>
          </w:p>
        </w:tc>
        <w:tc>
          <w:tcPr>
            <w:tcW w:type="dxa" w:w="6240"/>
            <w:tcBorders>
              <w:top w:val="single" w:color="CCCCCC" w:sz="1"/>
              <w:left w:val="single" w:color="CCCCCC" w:sz="1"/>
              <w:bottom w:val="single" w:color="CCCCCC" w:sz="1"/>
              <w:right w:val="single" w:color="CCCCCC" w:sz="1"/>
            </w:tcBorders>
            <w:shd w:fill="E8EEF9"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Jamaica, Barbados, Trinidad &amp; Tobago, OECS islands</w:t>
            </w:r>
          </w:p>
        </w:tc>
      </w:tr>
      <w:tr>
        <w:tc>
          <w:tcPr>
            <w:tcW w:type="dxa" w:w="312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bCs/>
                <w:color w:val="111111"/>
                <w:sz w:val="19"/>
                <w:szCs w:val="19"/>
              </w:rPr>
              <w:t xml:space="preserve">Product</w:t>
            </w:r>
          </w:p>
        </w:tc>
        <w:tc>
          <w:tcPr>
            <w:tcW w:type="dxa" w:w="624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Mobile banking app + branded Visa debit card (stablecoin-backed)</w:t>
            </w:r>
          </w:p>
        </w:tc>
      </w:tr>
      <w:tr>
        <w:tc>
          <w:tcPr>
            <w:tcW w:type="dxa" w:w="3120"/>
            <w:tcBorders>
              <w:top w:val="single" w:color="CCCCCC" w:sz="1"/>
              <w:left w:val="single" w:color="CCCCCC" w:sz="1"/>
              <w:bottom w:val="single" w:color="CCCCCC" w:sz="1"/>
              <w:right w:val="single" w:color="CCCCCC" w:sz="1"/>
            </w:tcBorders>
            <w:shd w:fill="E8EEF9" w:val="clear"/>
            <w:tcMar>
              <w:top w:type="dxa" w:w="90"/>
              <w:left w:type="dxa" w:w="140"/>
              <w:bottom w:type="dxa" w:w="90"/>
              <w:right w:type="dxa" w:w="140"/>
            </w:tcMar>
            <w:vAlign w:val="center"/>
          </w:tcPr>
          <w:p>
            <w:pPr>
              <w:jc w:val="left"/>
            </w:pPr>
            <w:r>
              <w:rPr>
                <w:rFonts w:ascii="Calibri" w:cs="Calibri" w:eastAsia="Calibri" w:hAnsi="Calibri"/>
                <w:b/>
                <w:bCs/>
                <w:color w:val="111111"/>
                <w:sz w:val="19"/>
                <w:szCs w:val="19"/>
              </w:rPr>
              <w:t xml:space="preserve">Infrastructure Model</w:t>
            </w:r>
          </w:p>
        </w:tc>
        <w:tc>
          <w:tcPr>
            <w:tcW w:type="dxa" w:w="6240"/>
            <w:tcBorders>
              <w:top w:val="single" w:color="CCCCCC" w:sz="1"/>
              <w:left w:val="single" w:color="CCCCCC" w:sz="1"/>
              <w:bottom w:val="single" w:color="CCCCCC" w:sz="1"/>
              <w:right w:val="single" w:color="CCCCCC" w:sz="1"/>
            </w:tcBorders>
            <w:shd w:fill="E8EEF9"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Stablecoin rails (USDC) via Rain.xyz + Visa network</w:t>
            </w:r>
          </w:p>
        </w:tc>
      </w:tr>
      <w:tr>
        <w:tc>
          <w:tcPr>
            <w:tcW w:type="dxa" w:w="312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bCs/>
                <w:color w:val="111111"/>
                <w:sz w:val="19"/>
                <w:szCs w:val="19"/>
              </w:rPr>
              <w:t xml:space="preserve">Year 1 Setup Cost</w:t>
            </w:r>
          </w:p>
        </w:tc>
        <w:tc>
          <w:tcPr>
            <w:tcW w:type="dxa" w:w="624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$120,000 – $180,000 (stablecoin route)</w:t>
            </w:r>
          </w:p>
        </w:tc>
      </w:tr>
      <w:tr>
        <w:tc>
          <w:tcPr>
            <w:tcW w:type="dxa" w:w="3120"/>
            <w:tcBorders>
              <w:top w:val="single" w:color="CCCCCC" w:sz="1"/>
              <w:left w:val="single" w:color="CCCCCC" w:sz="1"/>
              <w:bottom w:val="single" w:color="CCCCCC" w:sz="1"/>
              <w:right w:val="single" w:color="CCCCCC" w:sz="1"/>
            </w:tcBorders>
            <w:shd w:fill="E8EEF9" w:val="clear"/>
            <w:tcMar>
              <w:top w:type="dxa" w:w="90"/>
              <w:left w:type="dxa" w:w="140"/>
              <w:bottom w:type="dxa" w:w="90"/>
              <w:right w:type="dxa" w:w="140"/>
            </w:tcMar>
            <w:vAlign w:val="center"/>
          </w:tcPr>
          <w:p>
            <w:pPr>
              <w:jc w:val="left"/>
            </w:pPr>
            <w:r>
              <w:rPr>
                <w:rFonts w:ascii="Calibri" w:cs="Calibri" w:eastAsia="Calibri" w:hAnsi="Calibri"/>
                <w:b/>
                <w:bCs/>
                <w:color w:val="111111"/>
                <w:sz w:val="19"/>
                <w:szCs w:val="19"/>
              </w:rPr>
              <w:t xml:space="preserve">Breakeven Users</w:t>
            </w:r>
          </w:p>
        </w:tc>
        <w:tc>
          <w:tcPr>
            <w:tcW w:type="dxa" w:w="6240"/>
            <w:tcBorders>
              <w:top w:val="single" w:color="CCCCCC" w:sz="1"/>
              <w:left w:val="single" w:color="CCCCCC" w:sz="1"/>
              <w:bottom w:val="single" w:color="CCCCCC" w:sz="1"/>
              <w:right w:val="single" w:color="CCCCCC" w:sz="1"/>
            </w:tcBorders>
            <w:shd w:fill="E8EEF9"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~5,000 active cardholders vs ~15,000 on traditional rails</w:t>
            </w:r>
          </w:p>
        </w:tc>
      </w:tr>
      <w:tr>
        <w:tc>
          <w:tcPr>
            <w:tcW w:type="dxa" w:w="312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bCs/>
                <w:color w:val="111111"/>
                <w:sz w:val="19"/>
                <w:szCs w:val="19"/>
              </w:rPr>
              <w:t xml:space="preserve">Revenue @ 10k Users</w:t>
            </w:r>
          </w:p>
        </w:tc>
        <w:tc>
          <w:tcPr>
            <w:tcW w:type="dxa" w:w="624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~$1.1M/year (interchange + FX + subscriptions + yield)</w:t>
            </w:r>
          </w:p>
        </w:tc>
      </w:tr>
      <w:tr>
        <w:tc>
          <w:tcPr>
            <w:tcW w:type="dxa" w:w="3120"/>
            <w:tcBorders>
              <w:top w:val="single" w:color="CCCCCC" w:sz="1"/>
              <w:left w:val="single" w:color="CCCCCC" w:sz="1"/>
              <w:bottom w:val="single" w:color="CCCCCC" w:sz="1"/>
              <w:right w:val="single" w:color="CCCCCC" w:sz="1"/>
            </w:tcBorders>
            <w:shd w:fill="E8EEF9" w:val="clear"/>
            <w:tcMar>
              <w:top w:type="dxa" w:w="90"/>
              <w:left w:type="dxa" w:w="140"/>
              <w:bottom w:type="dxa" w:w="90"/>
              <w:right w:type="dxa" w:w="140"/>
            </w:tcMar>
            <w:vAlign w:val="center"/>
          </w:tcPr>
          <w:p>
            <w:pPr>
              <w:jc w:val="left"/>
            </w:pPr>
            <w:r>
              <w:rPr>
                <w:rFonts w:ascii="Calibri" w:cs="Calibri" w:eastAsia="Calibri" w:hAnsi="Calibri"/>
                <w:b/>
                <w:bCs/>
                <w:color w:val="111111"/>
                <w:sz w:val="19"/>
                <w:szCs w:val="19"/>
              </w:rPr>
              <w:t xml:space="preserve">Funding Sought</w:t>
            </w:r>
          </w:p>
        </w:tc>
        <w:tc>
          <w:tcPr>
            <w:tcW w:type="dxa" w:w="6240"/>
            <w:tcBorders>
              <w:top w:val="single" w:color="CCCCCC" w:sz="1"/>
              <w:left w:val="single" w:color="CCCCCC" w:sz="1"/>
              <w:bottom w:val="single" w:color="CCCCCC" w:sz="1"/>
              <w:right w:val="single" w:color="CCCCCC" w:sz="1"/>
            </w:tcBorders>
            <w:shd w:fill="E8EEF9"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$500,000 seed round — 18-month runway to profitability</w:t>
            </w:r>
          </w:p>
        </w:tc>
      </w:tr>
    </w:tbl>
    <w:p>
      <w:r>
        <w:br w:type="page"/>
      </w:r>
    </w:p>
    <w:p>
      <w:pPr>
        <w:pBdr>
          <w:bottom w:val="single" w:color="C9A84C" w:sz="8" w:space="4"/>
        </w:pBdr>
        <w:spacing w:after="160" w:before="400"/>
      </w:pPr>
      <w:r>
        <w:rPr>
          <w:rFonts w:ascii="Calibri" w:cs="Calibri" w:eastAsia="Calibri" w:hAnsi="Calibri"/>
          <w:b/>
          <w:bCs/>
          <w:color w:val="0D1B4B"/>
          <w:sz w:val="36"/>
          <w:szCs w:val="36"/>
        </w:rPr>
        <w:t xml:space="preserve">2. Market Opportunity</w:t>
      </w:r>
    </w:p>
    <w:p>
      <w:pPr>
        <w:spacing w:after="60" w:before="60"/>
      </w:pPr>
      <w:r>
        <w:rPr>
          <w:rFonts w:ascii="Calibri" w:cs="Calibri" w:eastAsia="Calibri" w:hAnsi="Calibri"/>
          <w:b w:val="false"/>
          <w:bCs w:val="false"/>
          <w:color w:val="111111"/>
          <w:sz w:val="20"/>
          <w:szCs w:val="20"/>
        </w:rPr>
        <w:t xml:space="preserve">The Caribbean fintech market is at an inflection point. Legacy banking infrastructure is expensive, slow, and excludes a significant portion of the population. Mobile penetration across the region exceeds 75%, yet digital banking adoption lags far behind equivalent emerging markets in Latin America and Africa.</w:t>
      </w:r>
    </w:p>
    <w:p>
      <w:pPr>
        <w:spacing w:after="100" w:before="10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D1B4B" w:val="clear"/>
            <w:tcMar>
              <w:top w:type="dxa" w:w="60"/>
              <w:left w:type="dxa" w:w="120"/>
              <w:bottom w:type="dxa" w:w="60"/>
              <w:right w:type="dxa" w:w="120"/>
            </w:tcMar>
            <w:vAlign w:val="center"/>
          </w:tcPr>
          <w:p>
            <w:pPr>
              <w:jc w:val="center"/>
            </w:pPr>
            <w:r>
              <w:rPr>
                <w:rFonts w:ascii="Calibri" w:cs="Calibri" w:eastAsia="Calibri" w:hAnsi="Calibri"/>
                <w:b/>
                <w:bCs/>
                <w:color w:val="FFFFFF"/>
                <w:sz w:val="20"/>
                <w:szCs w:val="20"/>
              </w:rPr>
              <w:t xml:space="preserve">Market</w:t>
            </w:r>
          </w:p>
        </w:tc>
        <w:tc>
          <w:tcPr>
            <w:tcW w:type="dxa" w:w="2340"/>
            <w:tcBorders>
              <w:top w:val="single" w:color="CCCCCC" w:sz="1"/>
              <w:left w:val="single" w:color="CCCCCC" w:sz="1"/>
              <w:bottom w:val="single" w:color="CCCCCC" w:sz="1"/>
              <w:right w:val="single" w:color="CCCCCC" w:sz="1"/>
            </w:tcBorders>
            <w:shd w:fill="0D1B4B" w:val="clear"/>
            <w:tcMar>
              <w:top w:type="dxa" w:w="60"/>
              <w:left w:type="dxa" w:w="120"/>
              <w:bottom w:type="dxa" w:w="60"/>
              <w:right w:type="dxa" w:w="120"/>
            </w:tcMar>
            <w:vAlign w:val="center"/>
          </w:tcPr>
          <w:p>
            <w:pPr>
              <w:jc w:val="center"/>
            </w:pPr>
            <w:r>
              <w:rPr>
                <w:rFonts w:ascii="Calibri" w:cs="Calibri" w:eastAsia="Calibri" w:hAnsi="Calibri"/>
                <w:b/>
                <w:bCs/>
                <w:color w:val="FFFFFF"/>
                <w:sz w:val="20"/>
                <w:szCs w:val="20"/>
              </w:rPr>
              <w:t xml:space="preserve">Population</w:t>
            </w:r>
          </w:p>
        </w:tc>
        <w:tc>
          <w:tcPr>
            <w:tcW w:type="dxa" w:w="2340"/>
            <w:tcBorders>
              <w:top w:val="single" w:color="CCCCCC" w:sz="1"/>
              <w:left w:val="single" w:color="CCCCCC" w:sz="1"/>
              <w:bottom w:val="single" w:color="CCCCCC" w:sz="1"/>
              <w:right w:val="single" w:color="CCCCCC" w:sz="1"/>
            </w:tcBorders>
            <w:shd w:fill="0D1B4B" w:val="clear"/>
            <w:tcMar>
              <w:top w:type="dxa" w:w="60"/>
              <w:left w:type="dxa" w:w="120"/>
              <w:bottom w:type="dxa" w:w="60"/>
              <w:right w:type="dxa" w:w="120"/>
            </w:tcMar>
            <w:vAlign w:val="center"/>
          </w:tcPr>
          <w:p>
            <w:pPr>
              <w:jc w:val="center"/>
            </w:pPr>
            <w:r>
              <w:rPr>
                <w:rFonts w:ascii="Calibri" w:cs="Calibri" w:eastAsia="Calibri" w:hAnsi="Calibri"/>
                <w:b/>
                <w:bCs/>
                <w:color w:val="FFFFFF"/>
                <w:sz w:val="20"/>
                <w:szCs w:val="20"/>
              </w:rPr>
              <w:t xml:space="preserve">Smartphone Penetration</w:t>
            </w:r>
          </w:p>
        </w:tc>
        <w:tc>
          <w:tcPr>
            <w:tcW w:type="dxa" w:w="2340"/>
            <w:tcBorders>
              <w:top w:val="single" w:color="CCCCCC" w:sz="1"/>
              <w:left w:val="single" w:color="CCCCCC" w:sz="1"/>
              <w:bottom w:val="single" w:color="CCCCCC" w:sz="1"/>
              <w:right w:val="single" w:color="CCCCCC" w:sz="1"/>
            </w:tcBorders>
            <w:shd w:fill="0D1B4B" w:val="clear"/>
            <w:tcMar>
              <w:top w:type="dxa" w:w="60"/>
              <w:left w:type="dxa" w:w="120"/>
              <w:bottom w:type="dxa" w:w="60"/>
              <w:right w:type="dxa" w:w="120"/>
            </w:tcMar>
            <w:vAlign w:val="center"/>
          </w:tcPr>
          <w:p>
            <w:pPr>
              <w:jc w:val="center"/>
            </w:pPr>
            <w:r>
              <w:rPr>
                <w:rFonts w:ascii="Calibri" w:cs="Calibri" w:eastAsia="Calibri" w:hAnsi="Calibri"/>
                <w:b/>
                <w:bCs/>
                <w:color w:val="FFFFFF"/>
                <w:sz w:val="20"/>
                <w:szCs w:val="20"/>
              </w:rPr>
              <w:t xml:space="preserve">Banked %</w:t>
            </w:r>
          </w:p>
        </w:tc>
      </w:tr>
      <w:tr>
        <w:tc>
          <w:tcPr>
            <w:tcW w:type="dxa" w:w="234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bCs/>
                <w:color w:val="111111"/>
                <w:sz w:val="19"/>
                <w:szCs w:val="19"/>
              </w:rPr>
              <w:t xml:space="preserve">Jamaica</w:t>
            </w:r>
          </w:p>
        </w:tc>
        <w:tc>
          <w:tcPr>
            <w:tcW w:type="dxa" w:w="234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2.97M</w:t>
            </w:r>
          </w:p>
        </w:tc>
        <w:tc>
          <w:tcPr>
            <w:tcW w:type="dxa" w:w="234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73%</w:t>
            </w:r>
          </w:p>
        </w:tc>
        <w:tc>
          <w:tcPr>
            <w:tcW w:type="dxa" w:w="234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~78%</w:t>
            </w:r>
          </w:p>
        </w:tc>
      </w:tr>
      <w:tr>
        <w:tc>
          <w:tcPr>
            <w:tcW w:type="dxa" w:w="23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Calibri" w:cs="Calibri" w:eastAsia="Calibri" w:hAnsi="Calibri"/>
                <w:b/>
                <w:bCs/>
                <w:color w:val="111111"/>
                <w:sz w:val="19"/>
                <w:szCs w:val="19"/>
              </w:rPr>
              <w:t xml:space="preserve">Trinidad &amp; Tobago</w:t>
            </w:r>
          </w:p>
        </w:tc>
        <w:tc>
          <w:tcPr>
            <w:tcW w:type="dxa" w:w="23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1.43M</w:t>
            </w:r>
          </w:p>
        </w:tc>
        <w:tc>
          <w:tcPr>
            <w:tcW w:type="dxa" w:w="23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78%</w:t>
            </w:r>
          </w:p>
        </w:tc>
        <w:tc>
          <w:tcPr>
            <w:tcW w:type="dxa" w:w="23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~82%</w:t>
            </w:r>
          </w:p>
        </w:tc>
      </w:tr>
      <w:tr>
        <w:tc>
          <w:tcPr>
            <w:tcW w:type="dxa" w:w="234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bCs/>
                <w:color w:val="111111"/>
                <w:sz w:val="19"/>
                <w:szCs w:val="19"/>
              </w:rPr>
              <w:t xml:space="preserve">Barbados</w:t>
            </w:r>
          </w:p>
        </w:tc>
        <w:tc>
          <w:tcPr>
            <w:tcW w:type="dxa" w:w="234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0.28M</w:t>
            </w:r>
          </w:p>
        </w:tc>
        <w:tc>
          <w:tcPr>
            <w:tcW w:type="dxa" w:w="234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81%</w:t>
            </w:r>
          </w:p>
        </w:tc>
        <w:tc>
          <w:tcPr>
            <w:tcW w:type="dxa" w:w="234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~85%</w:t>
            </w:r>
          </w:p>
        </w:tc>
      </w:tr>
      <w:tr>
        <w:tc>
          <w:tcPr>
            <w:tcW w:type="dxa" w:w="23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Calibri" w:cs="Calibri" w:eastAsia="Calibri" w:hAnsi="Calibri"/>
                <w:b/>
                <w:bCs/>
                <w:color w:val="111111"/>
                <w:sz w:val="19"/>
                <w:szCs w:val="19"/>
              </w:rPr>
              <w:t xml:space="preserve">OECS Islands</w:t>
            </w:r>
          </w:p>
        </w:tc>
        <w:tc>
          <w:tcPr>
            <w:tcW w:type="dxa" w:w="23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~0.7M</w:t>
            </w:r>
          </w:p>
        </w:tc>
        <w:tc>
          <w:tcPr>
            <w:tcW w:type="dxa" w:w="23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65–72%</w:t>
            </w:r>
          </w:p>
        </w:tc>
        <w:tc>
          <w:tcPr>
            <w:tcW w:type="dxa" w:w="23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~60–70%</w:t>
            </w:r>
          </w:p>
        </w:tc>
      </w:tr>
      <w:tr>
        <w:tc>
          <w:tcPr>
            <w:tcW w:type="dxa" w:w="2340"/>
            <w:tcBorders>
              <w:top w:val="single" w:color="CCCCCC" w:sz="1"/>
              <w:left w:val="single" w:color="CCCCCC" w:sz="1"/>
              <w:bottom w:val="single" w:color="CCCCCC" w:sz="1"/>
              <w:right w:val="single" w:color="CCCCCC" w:sz="1"/>
            </w:tcBorders>
            <w:shd w:fill="FDF3DC" w:val="clear"/>
            <w:tcMar>
              <w:top w:type="dxa" w:w="90"/>
              <w:left w:type="dxa" w:w="140"/>
              <w:bottom w:type="dxa" w:w="90"/>
              <w:right w:type="dxa" w:w="140"/>
            </w:tcMar>
            <w:vAlign w:val="center"/>
          </w:tcPr>
          <w:p>
            <w:pPr>
              <w:jc w:val="left"/>
            </w:pPr>
            <w:r>
              <w:rPr>
                <w:rFonts w:ascii="Calibri" w:cs="Calibri" w:eastAsia="Calibri" w:hAnsi="Calibri"/>
                <w:b/>
                <w:bCs/>
                <w:color w:val="111111"/>
                <w:sz w:val="19"/>
                <w:szCs w:val="19"/>
              </w:rPr>
              <w:t xml:space="preserve">TOTAL</w:t>
            </w:r>
          </w:p>
        </w:tc>
        <w:tc>
          <w:tcPr>
            <w:tcW w:type="dxa" w:w="2340"/>
            <w:tcBorders>
              <w:top w:val="single" w:color="CCCCCC" w:sz="1"/>
              <w:left w:val="single" w:color="CCCCCC" w:sz="1"/>
              <w:bottom w:val="single" w:color="CCCCCC" w:sz="1"/>
              <w:right w:val="single" w:color="CCCCCC" w:sz="1"/>
            </w:tcBorders>
            <w:shd w:fill="FDF3DC" w:val="clear"/>
            <w:tcMar>
              <w:top w:type="dxa" w:w="90"/>
              <w:left w:type="dxa" w:w="140"/>
              <w:bottom w:type="dxa" w:w="90"/>
              <w:right w:type="dxa" w:w="140"/>
            </w:tcMar>
            <w:vAlign w:val="center"/>
          </w:tcPr>
          <w:p>
            <w:pPr>
              <w:jc w:val="left"/>
            </w:pPr>
            <w:r>
              <w:rPr>
                <w:rFonts w:ascii="Calibri" w:cs="Calibri" w:eastAsia="Calibri" w:hAnsi="Calibri"/>
                <w:b/>
                <w:bCs/>
                <w:color w:val="111111"/>
                <w:sz w:val="19"/>
                <w:szCs w:val="19"/>
              </w:rPr>
              <w:t xml:space="preserve">~5.4M+</w:t>
            </w:r>
          </w:p>
        </w:tc>
        <w:tc>
          <w:tcPr>
            <w:tcW w:type="dxa" w:w="2340"/>
            <w:tcBorders>
              <w:top w:val="single" w:color="CCCCCC" w:sz="1"/>
              <w:left w:val="single" w:color="CCCCCC" w:sz="1"/>
              <w:bottom w:val="single" w:color="CCCCCC" w:sz="1"/>
              <w:right w:val="single" w:color="CCCCCC" w:sz="1"/>
            </w:tcBorders>
            <w:shd w:fill="FDF3DC" w:val="clear"/>
            <w:tcMar>
              <w:top w:type="dxa" w:w="90"/>
              <w:left w:type="dxa" w:w="140"/>
              <w:bottom w:type="dxa" w:w="90"/>
              <w:right w:type="dxa" w:w="140"/>
            </w:tcMar>
            <w:vAlign w:val="center"/>
          </w:tcPr>
          <w:p>
            <w:pPr>
              <w:jc w:val="left"/>
            </w:pPr>
            <w:r>
              <w:rPr>
                <w:rFonts w:ascii="Calibri" w:cs="Calibri" w:eastAsia="Calibri" w:hAnsi="Calibri"/>
                <w:b/>
                <w:bCs/>
                <w:color w:val="111111"/>
                <w:sz w:val="19"/>
                <w:szCs w:val="19"/>
              </w:rPr>
              <w:t xml:space="preserve">~75% avg</w:t>
            </w:r>
          </w:p>
        </w:tc>
        <w:tc>
          <w:tcPr>
            <w:tcW w:type="dxa" w:w="2340"/>
            <w:tcBorders>
              <w:top w:val="single" w:color="CCCCCC" w:sz="1"/>
              <w:left w:val="single" w:color="CCCCCC" w:sz="1"/>
              <w:bottom w:val="single" w:color="CCCCCC" w:sz="1"/>
              <w:right w:val="single" w:color="CCCCCC" w:sz="1"/>
            </w:tcBorders>
            <w:shd w:fill="FDF3DC" w:val="clear"/>
            <w:tcMar>
              <w:top w:type="dxa" w:w="90"/>
              <w:left w:type="dxa" w:w="140"/>
              <w:bottom w:type="dxa" w:w="90"/>
              <w:right w:type="dxa" w:w="140"/>
            </w:tcMar>
            <w:vAlign w:val="center"/>
          </w:tcPr>
          <w:p>
            <w:pPr>
              <w:jc w:val="left"/>
            </w:pPr>
            <w:r>
              <w:rPr>
                <w:rFonts w:ascii="Calibri" w:cs="Calibri" w:eastAsia="Calibri" w:hAnsi="Calibri"/>
                <w:b/>
                <w:bCs/>
                <w:color w:val="111111"/>
                <w:sz w:val="19"/>
                <w:szCs w:val="19"/>
              </w:rPr>
              <w:t xml:space="preserve">~76% avg</w:t>
            </w:r>
          </w:p>
        </w:tc>
      </w:tr>
    </w:tbl>
    <w:p>
      <w:pPr>
        <w:spacing w:after="100" w:before="100"/>
      </w:pPr>
      <w:r>
        <w:rPr>
          <w:sz w:val="20"/>
          <w:szCs w:val="20"/>
        </w:rPr>
        <w:t xml:space="preserve"/>
      </w:r>
    </w:p>
    <w:p>
      <w:pPr>
        <w:spacing w:after="60" w:before="60"/>
      </w:pPr>
      <w:r>
        <w:rPr>
          <w:rFonts w:ascii="Calibri" w:cs="Calibri" w:eastAsia="Calibri" w:hAnsi="Calibri"/>
          <w:b w:val="false"/>
          <w:bCs w:val="false"/>
          <w:color w:val="111111"/>
          <w:sz w:val="20"/>
          <w:szCs w:val="20"/>
        </w:rPr>
        <w:t xml:space="preserve">Key market drivers:</w:t>
      </w:r>
    </w:p>
    <w:p>
      <w:pPr>
        <w:pStyle w:val="ListParagraph"/>
        <w:numPr>
          <w:ilvl w:val="0"/>
          <w:numId w:val="2"/>
        </w:numPr>
        <w:spacing w:after="44" w:before="44"/>
      </w:pPr>
      <w:r>
        <w:rPr>
          <w:rFonts w:ascii="Calibri" w:cs="Calibri" w:eastAsia="Calibri" w:hAnsi="Calibri"/>
          <w:sz w:val="20"/>
          <w:szCs w:val="20"/>
        </w:rPr>
        <w:t xml:space="preserve">Jamaica's remittance inflows exceed $3.5B USD annually — one of the highest per-capita rates globally — creating natural demand for low-cost digital money movement</w:t>
      </w:r>
    </w:p>
    <w:p>
      <w:pPr>
        <w:pStyle w:val="ListParagraph"/>
        <w:numPr>
          <w:ilvl w:val="0"/>
          <w:numId w:val="2"/>
        </w:numPr>
        <w:spacing w:after="44" w:before="44"/>
      </w:pPr>
      <w:r>
        <w:rPr>
          <w:rFonts w:ascii="Calibri" w:cs="Calibri" w:eastAsia="Calibri" w:hAnsi="Calibri"/>
          <w:sz w:val="20"/>
          <w:szCs w:val="20"/>
        </w:rPr>
        <w:t xml:space="preserve">Multi-currency complexity (JMD, BBD, TTD, XCD) creates friction that stablecoin rails uniquely resolve</w:t>
      </w:r>
    </w:p>
    <w:p>
      <w:pPr>
        <w:pStyle w:val="ListParagraph"/>
        <w:numPr>
          <w:ilvl w:val="0"/>
          <w:numId w:val="2"/>
        </w:numPr>
        <w:spacing w:after="44" w:before="44"/>
      </w:pPr>
      <w:r>
        <w:rPr>
          <w:rFonts w:ascii="Calibri" w:cs="Calibri" w:eastAsia="Calibri" w:hAnsi="Calibri"/>
          <w:sz w:val="20"/>
          <w:szCs w:val="20"/>
        </w:rPr>
        <w:t xml:space="preserve">Gen Z and Millennial population is tech-savvy and underserved by traditional banks</w:t>
      </w:r>
    </w:p>
    <w:p>
      <w:pPr>
        <w:pStyle w:val="ListParagraph"/>
        <w:numPr>
          <w:ilvl w:val="0"/>
          <w:numId w:val="2"/>
        </w:numPr>
        <w:spacing w:after="44" w:before="44"/>
      </w:pPr>
      <w:r>
        <w:rPr>
          <w:rFonts w:ascii="Calibri" w:cs="Calibri" w:eastAsia="Calibri" w:hAnsi="Calibri"/>
          <w:sz w:val="20"/>
          <w:szCs w:val="20"/>
        </w:rPr>
        <w:t xml:space="preserve">Caribbean neobank category is largely uncontested — first-mover advantage is real and available now</w:t>
      </w:r>
    </w:p>
    <w:p>
      <w:r>
        <w:br w:type="page"/>
      </w:r>
    </w:p>
    <w:p>
      <w:pPr>
        <w:pBdr>
          <w:bottom w:val="single" w:color="C9A84C" w:sz="8" w:space="4"/>
        </w:pBdr>
        <w:spacing w:after="160" w:before="400"/>
      </w:pPr>
      <w:r>
        <w:rPr>
          <w:rFonts w:ascii="Calibri" w:cs="Calibri" w:eastAsia="Calibri" w:hAnsi="Calibri"/>
          <w:b/>
          <w:bCs/>
          <w:color w:val="0D1B4B"/>
          <w:sz w:val="36"/>
          <w:szCs w:val="36"/>
        </w:rPr>
        <w:t xml:space="preserve">3. Recommended End-to-End Partners</w:t>
      </w:r>
    </w:p>
    <w:p>
      <w:pPr>
        <w:spacing w:after="60" w:before="60"/>
      </w:pPr>
      <w:r>
        <w:rPr>
          <w:rFonts w:ascii="Calibri" w:cs="Calibri" w:eastAsia="Calibri" w:hAnsi="Calibri"/>
          <w:b w:val="false"/>
          <w:bCs w:val="false"/>
          <w:color w:val="111111"/>
          <w:sz w:val="20"/>
          <w:szCs w:val="20"/>
        </w:rPr>
        <w:t xml:space="preserve">Kin's technology stack requires four layers of partners: (1) the stablecoin infrastructure and card issuer, (2) the card network, (3) the stablecoin currency itself, and (4) compliance and KYC. Below are our top recommendations for each layer with clear rationale.</w:t>
      </w:r>
    </w:p>
    <w:p>
      <w:pPr>
        <w:spacing w:after="100" w:before="100"/>
      </w:pPr>
      <w:r>
        <w:rPr>
          <w:sz w:val="20"/>
          <w:szCs w:val="20"/>
        </w:rPr>
        <w:t xml:space="preserve"/>
      </w:r>
    </w:p>
    <w:p>
      <w:pPr>
        <w:spacing w:after="80" w:before="260"/>
      </w:pPr>
      <w:r>
        <w:rPr>
          <w:rFonts w:ascii="Calibri" w:cs="Calibri" w:eastAsia="Calibri" w:hAnsi="Calibri"/>
          <w:b/>
          <w:bCs/>
          <w:color w:val="2563EB"/>
          <w:sz w:val="26"/>
          <w:szCs w:val="26"/>
        </w:rPr>
        <w:t xml:space="preserve">3.1  Layer 1: Stablecoin Card Issuing Platform</w:t>
      </w:r>
    </w:p>
    <w:p>
      <w:pPr>
        <w:spacing w:after="60" w:before="60"/>
      </w:pPr>
      <w:r>
        <w:rPr>
          <w:sz w:val="20"/>
          <w:szCs w:val="20"/>
        </w:rPr>
        <w:t xml:space="preserve"/>
      </w:r>
    </w:p>
    <w:p>
      <w:pPr>
        <w:spacing w:after="60" w:before="200"/>
      </w:pPr>
      <w:r>
        <w:rPr>
          <w:rFonts w:ascii="Calibri" w:cs="Calibri" w:eastAsia="Calibri" w:hAnsi="Calibri"/>
          <w:b/>
          <w:bCs/>
          <w:color w:val="1A7A4A"/>
          <w:sz w:val="22"/>
          <w:szCs w:val="22"/>
        </w:rPr>
        <w:t xml:space="preserve">Rain.xyz  —  Primary Recommendation</w:t>
      </w:r>
    </w:p>
    <w:p>
      <w:pPr>
        <w:spacing w:after="60" w:before="60"/>
      </w:pPr>
      <w:r>
        <w:rPr>
          <w:rFonts w:ascii="Calibri" w:cs="Calibri" w:eastAsia="Calibri" w:hAnsi="Calibri"/>
          <w:b w:val="false"/>
          <w:bCs w:val="false"/>
          <w:color w:val="111111"/>
          <w:sz w:val="20"/>
          <w:szCs w:val="20"/>
        </w:rPr>
        <w:t xml:space="preserve">Rain is a Visa principal member — meaning it issues cards directly without needing a BIN sponsor, eliminating an entire cost layer. It supports 150+ jurisdictions including the Caribbean, provides a single API for cards, accounts, and stablecoin settlement, and has processed over $18B in annualised stablecoin card volume.</w:t>
      </w:r>
    </w:p>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7A4A" w:val="clear"/>
            <w:tcMar>
              <w:top w:type="dxa" w:w="60"/>
              <w:left w:type="dxa" w:w="120"/>
              <w:bottom w:type="dxa" w:w="60"/>
              <w:right w:type="dxa" w:w="120"/>
            </w:tcMar>
            <w:vAlign w:val="center"/>
          </w:tcPr>
          <w:p>
            <w:pPr>
              <w:jc w:val="center"/>
            </w:pPr>
            <w:r>
              <w:rPr>
                <w:rFonts w:ascii="Calibri" w:cs="Calibri" w:eastAsia="Calibri" w:hAnsi="Calibri"/>
                <w:b/>
                <w:bCs/>
                <w:color w:val="FFFFFF"/>
                <w:sz w:val="20"/>
                <w:szCs w:val="20"/>
              </w:rPr>
              <w:t xml:space="preserve">Rain Feature</w:t>
            </w:r>
          </w:p>
        </w:tc>
        <w:tc>
          <w:tcPr>
            <w:tcW w:type="dxa" w:w="6240"/>
            <w:tcBorders>
              <w:top w:val="single" w:color="CCCCCC" w:sz="1"/>
              <w:left w:val="single" w:color="CCCCCC" w:sz="1"/>
              <w:bottom w:val="single" w:color="CCCCCC" w:sz="1"/>
              <w:right w:val="single" w:color="CCCCCC" w:sz="1"/>
            </w:tcBorders>
            <w:shd w:fill="1A7A4A" w:val="clear"/>
            <w:tcMar>
              <w:top w:type="dxa" w:w="60"/>
              <w:left w:type="dxa" w:w="120"/>
              <w:bottom w:type="dxa" w:w="60"/>
              <w:right w:type="dxa" w:w="120"/>
            </w:tcMar>
            <w:vAlign w:val="center"/>
          </w:tcPr>
          <w:p>
            <w:pPr>
              <w:jc w:val="center"/>
            </w:pPr>
            <w:r>
              <w:rPr>
                <w:rFonts w:ascii="Calibri" w:cs="Calibri" w:eastAsia="Calibri" w:hAnsi="Calibri"/>
                <w:b/>
                <w:bCs/>
                <w:color w:val="FFFFFF"/>
                <w:sz w:val="20"/>
                <w:szCs w:val="20"/>
              </w:rPr>
              <w:t xml:space="preserve">Why It Matters for Kin</w:t>
            </w:r>
          </w:p>
        </w:tc>
      </w:tr>
      <w:tr>
        <w:tc>
          <w:tcPr>
            <w:tcW w:type="dxa" w:w="3120"/>
            <w:tcBorders>
              <w:top w:val="single" w:color="CCCCCC" w:sz="1"/>
              <w:left w:val="single" w:color="CCCCCC" w:sz="1"/>
              <w:bottom w:val="single" w:color="CCCCCC" w:sz="1"/>
              <w:right w:val="single" w:color="CCCCCC" w:sz="1"/>
            </w:tcBorders>
            <w:shd w:fill="E8F5EE" w:val="clear"/>
            <w:tcMar>
              <w:top w:type="dxa" w:w="90"/>
              <w:left w:type="dxa" w:w="140"/>
              <w:bottom w:type="dxa" w:w="90"/>
              <w:right w:type="dxa" w:w="140"/>
            </w:tcMar>
            <w:vAlign w:val="center"/>
          </w:tcPr>
          <w:p>
            <w:pPr>
              <w:jc w:val="left"/>
            </w:pPr>
            <w:r>
              <w:rPr>
                <w:rFonts w:ascii="Calibri" w:cs="Calibri" w:eastAsia="Calibri" w:hAnsi="Calibri"/>
                <w:b/>
                <w:bCs/>
                <w:color w:val="111111"/>
                <w:sz w:val="19"/>
                <w:szCs w:val="19"/>
              </w:rPr>
              <w:t xml:space="preserve">Direct Visa principal membership</w:t>
            </w:r>
          </w:p>
        </w:tc>
        <w:tc>
          <w:tcPr>
            <w:tcW w:type="dxa" w:w="6240"/>
            <w:tcBorders>
              <w:top w:val="single" w:color="CCCCCC" w:sz="1"/>
              <w:left w:val="single" w:color="CCCCCC" w:sz="1"/>
              <w:bottom w:val="single" w:color="CCCCCC" w:sz="1"/>
              <w:right w:val="single" w:color="CCCCCC" w:sz="1"/>
            </w:tcBorders>
            <w:shd w:fill="E8F5EE"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No BIN sponsor required — saves $10,000–$50,000 in setup costs and removes a monthly fee layer.</w:t>
            </w:r>
          </w:p>
        </w:tc>
      </w:tr>
      <w:tr>
        <w:tc>
          <w:tcPr>
            <w:tcW w:type="dxa" w:w="312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bCs/>
                <w:color w:val="111111"/>
                <w:sz w:val="19"/>
                <w:szCs w:val="19"/>
              </w:rPr>
              <w:t xml:space="preserve">150+ jurisdictions</w:t>
            </w:r>
          </w:p>
        </w:tc>
        <w:tc>
          <w:tcPr>
            <w:tcW w:type="dxa" w:w="624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Caribbean coverage confirmed — cards issued and delivered across the region.</w:t>
            </w:r>
          </w:p>
        </w:tc>
      </w:tr>
      <w:tr>
        <w:tc>
          <w:tcPr>
            <w:tcW w:type="dxa" w:w="3120"/>
            <w:tcBorders>
              <w:top w:val="single" w:color="CCCCCC" w:sz="1"/>
              <w:left w:val="single" w:color="CCCCCC" w:sz="1"/>
              <w:bottom w:val="single" w:color="CCCCCC" w:sz="1"/>
              <w:right w:val="single" w:color="CCCCCC" w:sz="1"/>
            </w:tcBorders>
            <w:shd w:fill="E8F5EE" w:val="clear"/>
            <w:tcMar>
              <w:top w:type="dxa" w:w="90"/>
              <w:left w:type="dxa" w:w="140"/>
              <w:bottom w:type="dxa" w:w="90"/>
              <w:right w:type="dxa" w:w="140"/>
            </w:tcMar>
            <w:vAlign w:val="center"/>
          </w:tcPr>
          <w:p>
            <w:pPr>
              <w:jc w:val="left"/>
            </w:pPr>
            <w:r>
              <w:rPr>
                <w:rFonts w:ascii="Calibri" w:cs="Calibri" w:eastAsia="Calibri" w:hAnsi="Calibri"/>
                <w:b/>
                <w:bCs/>
                <w:color w:val="111111"/>
                <w:sz w:val="19"/>
                <w:szCs w:val="19"/>
              </w:rPr>
              <w:t xml:space="preserve">Single API</w:t>
            </w:r>
          </w:p>
        </w:tc>
        <w:tc>
          <w:tcPr>
            <w:tcW w:type="dxa" w:w="6240"/>
            <w:tcBorders>
              <w:top w:val="single" w:color="CCCCCC" w:sz="1"/>
              <w:left w:val="single" w:color="CCCCCC" w:sz="1"/>
              <w:bottom w:val="single" w:color="CCCCCC" w:sz="1"/>
              <w:right w:val="single" w:color="CCCCCC" w:sz="1"/>
            </w:tcBorders>
            <w:shd w:fill="E8F5EE"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Cards, digital accounts, and cross-border money movement all through one integration.</w:t>
            </w:r>
          </w:p>
        </w:tc>
      </w:tr>
      <w:tr>
        <w:tc>
          <w:tcPr>
            <w:tcW w:type="dxa" w:w="312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bCs/>
                <w:color w:val="111111"/>
                <w:sz w:val="19"/>
                <w:szCs w:val="19"/>
              </w:rPr>
              <w:t xml:space="preserve">Real-time USDC to fiat</w:t>
            </w:r>
          </w:p>
        </w:tc>
        <w:tc>
          <w:tcPr>
            <w:tcW w:type="dxa" w:w="624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USDC balance converts to local currency at point of sale — seamless for end users.</w:t>
            </w:r>
          </w:p>
        </w:tc>
      </w:tr>
      <w:tr>
        <w:tc>
          <w:tcPr>
            <w:tcW w:type="dxa" w:w="3120"/>
            <w:tcBorders>
              <w:top w:val="single" w:color="CCCCCC" w:sz="1"/>
              <w:left w:val="single" w:color="CCCCCC" w:sz="1"/>
              <w:bottom w:val="single" w:color="CCCCCC" w:sz="1"/>
              <w:right w:val="single" w:color="CCCCCC" w:sz="1"/>
            </w:tcBorders>
            <w:shd w:fill="E8F5EE" w:val="clear"/>
            <w:tcMar>
              <w:top w:type="dxa" w:w="90"/>
              <w:left w:type="dxa" w:w="140"/>
              <w:bottom w:type="dxa" w:w="90"/>
              <w:right w:type="dxa" w:w="140"/>
            </w:tcMar>
            <w:vAlign w:val="center"/>
          </w:tcPr>
          <w:p>
            <w:pPr>
              <w:jc w:val="left"/>
            </w:pPr>
            <w:r>
              <w:rPr>
                <w:rFonts w:ascii="Calibri" w:cs="Calibri" w:eastAsia="Calibri" w:hAnsi="Calibri"/>
                <w:b/>
                <w:bCs/>
                <w:color w:val="111111"/>
                <w:sz w:val="19"/>
                <w:szCs w:val="19"/>
              </w:rPr>
              <w:t xml:space="preserve">Contact</w:t>
            </w:r>
          </w:p>
        </w:tc>
        <w:tc>
          <w:tcPr>
            <w:tcW w:type="dxa" w:w="6240"/>
            <w:tcBorders>
              <w:top w:val="single" w:color="CCCCCC" w:sz="1"/>
              <w:left w:val="single" w:color="CCCCCC" w:sz="1"/>
              <w:bottom w:val="single" w:color="CCCCCC" w:sz="1"/>
              <w:right w:val="single" w:color="CCCCCC" w:sz="1"/>
            </w:tcBorders>
            <w:shd w:fill="E8F5EE"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rain.xyz/enterprise  |  Backed by Visa, ICONIQ, Dragonfly Capital — valued ~$1.95B</w:t>
            </w:r>
          </w:p>
        </w:tc>
      </w:tr>
    </w:tbl>
    <w:p>
      <w:pPr>
        <w:spacing w:after="100" w:before="100"/>
      </w:pPr>
      <w:r>
        <w:rPr>
          <w:sz w:val="20"/>
          <w:szCs w:val="20"/>
        </w:rPr>
        <w:t xml:space="preserve"/>
      </w:r>
    </w:p>
    <w:p>
      <w:pPr>
        <w:spacing w:after="60" w:before="200"/>
      </w:pPr>
      <w:r>
        <w:rPr>
          <w:rFonts w:ascii="Calibri" w:cs="Calibri" w:eastAsia="Calibri" w:hAnsi="Calibri"/>
          <w:b/>
          <w:bCs/>
          <w:color w:val="2563EB"/>
          <w:sz w:val="22"/>
          <w:szCs w:val="22"/>
        </w:rPr>
        <w:t xml:space="preserve">Thredd + Payblr  —  Alternative (Compliance-First)</w:t>
      </w:r>
    </w:p>
    <w:p>
      <w:pPr>
        <w:spacing w:after="60" w:before="60"/>
      </w:pPr>
      <w:r>
        <w:rPr>
          <w:rFonts w:ascii="Calibri" w:cs="Calibri" w:eastAsia="Calibri" w:hAnsi="Calibri"/>
          <w:b w:val="false"/>
          <w:bCs w:val="false"/>
          <w:color w:val="111111"/>
          <w:sz w:val="20"/>
          <w:szCs w:val="20"/>
        </w:rPr>
        <w:t xml:space="preserve">Thredd processes 2B+ transactions annually across 50+ countries. Their 2025 partnership with Payblr — a Puerto Rico-based licensed BIN sponsor — is purpose-built for Caribbean fintech launches. Best suited if regulatory compliance is the primary concern over cost.</w:t>
      </w:r>
    </w:p>
    <w:p>
      <w:pPr>
        <w:spacing w:after="100" w:before="100"/>
      </w:pPr>
      <w:r>
        <w:rPr>
          <w:sz w:val="20"/>
          <w:szCs w:val="20"/>
        </w:rPr>
        <w:t xml:space="preserve"/>
      </w:r>
    </w:p>
    <w:p>
      <w:pPr>
        <w:spacing w:after="60" w:before="200"/>
      </w:pPr>
      <w:r>
        <w:rPr>
          <w:rFonts w:ascii="Calibri" w:cs="Calibri" w:eastAsia="Calibri" w:hAnsi="Calibri"/>
          <w:b/>
          <w:bCs/>
          <w:color w:val="555555"/>
          <w:sz w:val="22"/>
          <w:szCs w:val="22"/>
        </w:rPr>
        <w:t xml:space="preserve">Galileo Financial Technologies  —  Scale Option</w:t>
      </w:r>
    </w:p>
    <w:p>
      <w:pPr>
        <w:spacing w:after="60" w:before="60"/>
      </w:pPr>
      <w:r>
        <w:rPr>
          <w:rFonts w:ascii="Calibri" w:cs="Calibri" w:eastAsia="Calibri" w:hAnsi="Calibri"/>
          <w:b w:val="false"/>
          <w:bCs w:val="false"/>
          <w:color w:val="111111"/>
          <w:sz w:val="20"/>
          <w:szCs w:val="20"/>
        </w:rPr>
        <w:t xml:space="preserve">Galileo holds Mastercard Express Issuer Processor status specifically for Latin America and the Caribbean, supporting 2,000+ fintechs in the region. Recommended as the long-term processor once Kin exceeds 50,000 users and requires enterprise-grade infrastructure.</w:t>
      </w:r>
    </w:p>
    <w:p>
      <w:pPr>
        <w:spacing w:after="100" w:before="100"/>
      </w:pPr>
      <w:r>
        <w:rPr>
          <w:sz w:val="20"/>
          <w:szCs w:val="20"/>
        </w:rPr>
        <w:t xml:space="preserve"/>
      </w:r>
    </w:p>
    <w:p>
      <w:pPr>
        <w:spacing w:after="80" w:before="260"/>
      </w:pPr>
      <w:r>
        <w:rPr>
          <w:rFonts w:ascii="Calibri" w:cs="Calibri" w:eastAsia="Calibri" w:hAnsi="Calibri"/>
          <w:b/>
          <w:bCs/>
          <w:color w:val="2563EB"/>
          <w:sz w:val="26"/>
          <w:szCs w:val="26"/>
        </w:rPr>
        <w:t xml:space="preserve">3.2  Layer 2: Card Networks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0D1B4B" w:val="clear"/>
            <w:tcMar>
              <w:top w:type="dxa" w:w="60"/>
              <w:left w:type="dxa" w:w="120"/>
              <w:bottom w:type="dxa" w:w="60"/>
              <w:right w:type="dxa" w:w="120"/>
            </w:tcMar>
            <w:vAlign w:val="center"/>
          </w:tcPr>
          <w:p>
            <w:pPr>
              <w:jc w:val="center"/>
            </w:pPr>
            <w:r>
              <w:rPr>
                <w:rFonts w:ascii="Calibri" w:cs="Calibri" w:eastAsia="Calibri" w:hAnsi="Calibri"/>
                <w:b/>
                <w:bCs/>
                <w:color w:val="FFFFFF"/>
                <w:sz w:val="20"/>
                <w:szCs w:val="20"/>
              </w:rPr>
              <w:t xml:space="preserve">Network</w:t>
            </w:r>
          </w:p>
        </w:tc>
        <w:tc>
          <w:tcPr>
            <w:tcW w:type="dxa" w:w="3510"/>
            <w:tcBorders>
              <w:top w:val="single" w:color="CCCCCC" w:sz="1"/>
              <w:left w:val="single" w:color="CCCCCC" w:sz="1"/>
              <w:bottom w:val="single" w:color="CCCCCC" w:sz="1"/>
              <w:right w:val="single" w:color="CCCCCC" w:sz="1"/>
            </w:tcBorders>
            <w:shd w:fill="0D1B4B" w:val="clear"/>
            <w:tcMar>
              <w:top w:type="dxa" w:w="60"/>
              <w:left w:type="dxa" w:w="120"/>
              <w:bottom w:type="dxa" w:w="60"/>
              <w:right w:type="dxa" w:w="120"/>
            </w:tcMar>
            <w:vAlign w:val="center"/>
          </w:tcPr>
          <w:p>
            <w:pPr>
              <w:jc w:val="center"/>
            </w:pPr>
            <w:r>
              <w:rPr>
                <w:rFonts w:ascii="Calibri" w:cs="Calibri" w:eastAsia="Calibri" w:hAnsi="Calibri"/>
                <w:b/>
                <w:bCs/>
                <w:color w:val="FFFFFF"/>
                <w:sz w:val="20"/>
                <w:szCs w:val="20"/>
              </w:rPr>
              <w:t xml:space="preserve">Why Use It</w:t>
            </w:r>
          </w:p>
        </w:tc>
        <w:tc>
          <w:tcPr>
            <w:tcW w:type="dxa" w:w="3510"/>
            <w:tcBorders>
              <w:top w:val="single" w:color="CCCCCC" w:sz="1"/>
              <w:left w:val="single" w:color="CCCCCC" w:sz="1"/>
              <w:bottom w:val="single" w:color="CCCCCC" w:sz="1"/>
              <w:right w:val="single" w:color="CCCCCC" w:sz="1"/>
            </w:tcBorders>
            <w:shd w:fill="0D1B4B" w:val="clear"/>
            <w:tcMar>
              <w:top w:type="dxa" w:w="60"/>
              <w:left w:type="dxa" w:w="120"/>
              <w:bottom w:type="dxa" w:w="60"/>
              <w:right w:type="dxa" w:w="120"/>
            </w:tcMar>
            <w:vAlign w:val="center"/>
          </w:tcPr>
          <w:p>
            <w:pPr>
              <w:jc w:val="center"/>
            </w:pPr>
            <w:r>
              <w:rPr>
                <w:rFonts w:ascii="Calibri" w:cs="Calibri" w:eastAsia="Calibri" w:hAnsi="Calibri"/>
                <w:b/>
                <w:bCs/>
                <w:color w:val="FFFFFF"/>
                <w:sz w:val="20"/>
                <w:szCs w:val="20"/>
              </w:rPr>
              <w:t xml:space="preserve">Recommendation for Kin</w:t>
            </w:r>
          </w:p>
        </w:tc>
      </w:tr>
      <w:tr>
        <w:tc>
          <w:tcPr>
            <w:tcW w:type="dxa" w:w="234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bCs/>
                <w:color w:val="111111"/>
                <w:sz w:val="19"/>
                <w:szCs w:val="19"/>
              </w:rPr>
              <w:t xml:space="preserve">Visa</w:t>
            </w:r>
          </w:p>
        </w:tc>
        <w:tc>
          <w:tcPr>
            <w:tcW w:type="dxa" w:w="351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Carries &gt;90% of stablecoin card volume. Rain is a Visa principal member — deep native integration.</w:t>
            </w:r>
          </w:p>
        </w:tc>
        <w:tc>
          <w:tcPr>
            <w:tcW w:type="dxa" w:w="351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val="false"/>
                <w:bCs w:val="false"/>
                <w:color w:val="1A7A4A"/>
                <w:sz w:val="19"/>
                <w:szCs w:val="19"/>
              </w:rPr>
              <w:t xml:space="preserve">PRIMARY — launch on Visa via Rain</w:t>
            </w:r>
          </w:p>
        </w:tc>
      </w:tr>
      <w:tr>
        <w:tc>
          <w:tcPr>
            <w:tcW w:type="dxa" w:w="23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Calibri" w:cs="Calibri" w:eastAsia="Calibri" w:hAnsi="Calibri"/>
                <w:b/>
                <w:bCs/>
                <w:color w:val="111111"/>
                <w:sz w:val="19"/>
                <w:szCs w:val="19"/>
              </w:rPr>
              <w:t xml:space="preserve">Mastercard</w:t>
            </w:r>
          </w:p>
        </w:tc>
        <w:tc>
          <w:tcPr>
            <w:tcW w:type="dxa" w:w="351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Galileo holds Mastercard Express Caribbean status. Growing stablecoin support in 2025.</w:t>
            </w:r>
          </w:p>
        </w:tc>
        <w:tc>
          <w:tcPr>
            <w:tcW w:type="dxa" w:w="351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555555"/>
                <w:sz w:val="19"/>
                <w:szCs w:val="19"/>
              </w:rPr>
              <w:t xml:space="preserve">SECONDARY — add at scale via Galileo</w:t>
            </w:r>
          </w:p>
        </w:tc>
      </w:tr>
    </w:tbl>
    <w:p>
      <w:pPr>
        <w:spacing w:after="100" w:before="100"/>
      </w:pPr>
      <w:r>
        <w:rPr>
          <w:sz w:val="20"/>
          <w:szCs w:val="20"/>
        </w:rPr>
        <w:t xml:space="preserve"/>
      </w:r>
    </w:p>
    <w:p>
      <w:pPr>
        <w:spacing w:after="80" w:before="260"/>
      </w:pPr>
      <w:r>
        <w:rPr>
          <w:rFonts w:ascii="Calibri" w:cs="Calibri" w:eastAsia="Calibri" w:hAnsi="Calibri"/>
          <w:b/>
          <w:bCs/>
          <w:color w:val="2563EB"/>
          <w:sz w:val="26"/>
          <w:szCs w:val="26"/>
        </w:rPr>
        <w:t xml:space="preserve">3.3  Layer 3: KYC &amp;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0D1B4B" w:val="clear"/>
            <w:tcMar>
              <w:top w:type="dxa" w:w="60"/>
              <w:left w:type="dxa" w:w="120"/>
              <w:bottom w:type="dxa" w:w="60"/>
              <w:right w:type="dxa" w:w="120"/>
            </w:tcMar>
            <w:vAlign w:val="center"/>
          </w:tcPr>
          <w:p>
            <w:pPr>
              <w:jc w:val="center"/>
            </w:pPr>
            <w:r>
              <w:rPr>
                <w:rFonts w:ascii="Calibri" w:cs="Calibri" w:eastAsia="Calibri" w:hAnsi="Calibri"/>
                <w:b/>
                <w:bCs/>
                <w:color w:val="FFFFFF"/>
                <w:sz w:val="20"/>
                <w:szCs w:val="20"/>
              </w:rPr>
              <w:t xml:space="preserve">Provider</w:t>
            </w:r>
          </w:p>
        </w:tc>
        <w:tc>
          <w:tcPr>
            <w:tcW w:type="dxa" w:w="2520"/>
            <w:tcBorders>
              <w:top w:val="single" w:color="CCCCCC" w:sz="1"/>
              <w:left w:val="single" w:color="CCCCCC" w:sz="1"/>
              <w:bottom w:val="single" w:color="CCCCCC" w:sz="1"/>
              <w:right w:val="single" w:color="CCCCCC" w:sz="1"/>
            </w:tcBorders>
            <w:shd w:fill="0D1B4B" w:val="clear"/>
            <w:tcMar>
              <w:top w:type="dxa" w:w="60"/>
              <w:left w:type="dxa" w:w="120"/>
              <w:bottom w:type="dxa" w:w="60"/>
              <w:right w:type="dxa" w:w="120"/>
            </w:tcMar>
            <w:vAlign w:val="center"/>
          </w:tcPr>
          <w:p>
            <w:pPr>
              <w:jc w:val="center"/>
            </w:pPr>
            <w:r>
              <w:rPr>
                <w:rFonts w:ascii="Calibri" w:cs="Calibri" w:eastAsia="Calibri" w:hAnsi="Calibri"/>
                <w:b/>
                <w:bCs/>
                <w:color w:val="FFFFFF"/>
                <w:sz w:val="20"/>
                <w:szCs w:val="20"/>
              </w:rPr>
              <w:t xml:space="preserve">Coverage</w:t>
            </w:r>
          </w:p>
        </w:tc>
        <w:tc>
          <w:tcPr>
            <w:tcW w:type="dxa" w:w="2520"/>
            <w:tcBorders>
              <w:top w:val="single" w:color="CCCCCC" w:sz="1"/>
              <w:left w:val="single" w:color="CCCCCC" w:sz="1"/>
              <w:bottom w:val="single" w:color="CCCCCC" w:sz="1"/>
              <w:right w:val="single" w:color="CCCCCC" w:sz="1"/>
            </w:tcBorders>
            <w:shd w:fill="0D1B4B" w:val="clear"/>
            <w:tcMar>
              <w:top w:type="dxa" w:w="60"/>
              <w:left w:type="dxa" w:w="120"/>
              <w:bottom w:type="dxa" w:w="60"/>
              <w:right w:type="dxa" w:w="120"/>
            </w:tcMar>
            <w:vAlign w:val="center"/>
          </w:tcPr>
          <w:p>
            <w:pPr>
              <w:jc w:val="center"/>
            </w:pPr>
            <w:r>
              <w:rPr>
                <w:rFonts w:ascii="Calibri" w:cs="Calibri" w:eastAsia="Calibri" w:hAnsi="Calibri"/>
                <w:b/>
                <w:bCs/>
                <w:color w:val="FFFFFF"/>
                <w:sz w:val="20"/>
                <w:szCs w:val="20"/>
              </w:rPr>
              <w:t xml:space="preserve">Strength</w:t>
            </w:r>
          </w:p>
        </w:tc>
        <w:tc>
          <w:tcPr>
            <w:tcW w:type="dxa" w:w="2520"/>
            <w:tcBorders>
              <w:top w:val="single" w:color="CCCCCC" w:sz="1"/>
              <w:left w:val="single" w:color="CCCCCC" w:sz="1"/>
              <w:bottom w:val="single" w:color="CCCCCC" w:sz="1"/>
              <w:right w:val="single" w:color="CCCCCC" w:sz="1"/>
            </w:tcBorders>
            <w:shd w:fill="0D1B4B" w:val="clear"/>
            <w:tcMar>
              <w:top w:type="dxa" w:w="60"/>
              <w:left w:type="dxa" w:w="120"/>
              <w:bottom w:type="dxa" w:w="60"/>
              <w:right w:type="dxa" w:w="120"/>
            </w:tcMar>
            <w:vAlign w:val="center"/>
          </w:tcPr>
          <w:p>
            <w:pPr>
              <w:jc w:val="center"/>
            </w:pPr>
            <w:r>
              <w:rPr>
                <w:rFonts w:ascii="Calibri" w:cs="Calibri" w:eastAsia="Calibri" w:hAnsi="Calibri"/>
                <w:b/>
                <w:bCs/>
                <w:color w:val="FFFFFF"/>
                <w:sz w:val="20"/>
                <w:szCs w:val="20"/>
              </w:rPr>
              <w:t xml:space="preserve">Kin Verdict</w:t>
            </w:r>
          </w:p>
        </w:tc>
      </w:tr>
      <w:tr>
        <w:tc>
          <w:tcPr>
            <w:tcW w:type="dxa" w:w="1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bCs/>
                <w:color w:val="111111"/>
                <w:sz w:val="19"/>
                <w:szCs w:val="19"/>
              </w:rPr>
              <w:t xml:space="preserve">Sumsub</w:t>
            </w:r>
          </w:p>
        </w:tc>
        <w:tc>
          <w:tcPr>
            <w:tcW w:type="dxa" w:w="252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190+ countries</w:t>
            </w:r>
          </w:p>
        </w:tc>
        <w:tc>
          <w:tcPr>
            <w:tcW w:type="dxa" w:w="252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AI-powered, &lt;60 sec verification</w:t>
            </w:r>
          </w:p>
        </w:tc>
        <w:tc>
          <w:tcPr>
            <w:tcW w:type="dxa" w:w="252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val="false"/>
                <w:bCs w:val="false"/>
                <w:color w:val="1A7A4A"/>
                <w:sz w:val="19"/>
                <w:szCs w:val="19"/>
              </w:rPr>
              <w:t xml:space="preserve">Top pick — Caribbean IDs supported</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Calibri" w:cs="Calibri" w:eastAsia="Calibri" w:hAnsi="Calibri"/>
                <w:b/>
                <w:bCs/>
                <w:color w:val="111111"/>
                <w:sz w:val="19"/>
                <w:szCs w:val="19"/>
              </w:rPr>
              <w:t xml:space="preserve">Onfido</w:t>
            </w:r>
          </w:p>
        </w:tc>
        <w:tc>
          <w:tcPr>
            <w:tcW w:type="dxa" w:w="25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195 countries</w:t>
            </w:r>
          </w:p>
        </w:tc>
        <w:tc>
          <w:tcPr>
            <w:tcW w:type="dxa" w:w="25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Enterprise biometric, audit trail</w:t>
            </w:r>
          </w:p>
        </w:tc>
        <w:tc>
          <w:tcPr>
            <w:tcW w:type="dxa" w:w="25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Strong alternative</w:t>
            </w:r>
          </w:p>
        </w:tc>
      </w:tr>
      <w:tr>
        <w:tc>
          <w:tcPr>
            <w:tcW w:type="dxa" w:w="1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bCs/>
                <w:color w:val="111111"/>
                <w:sz w:val="19"/>
                <w:szCs w:val="19"/>
              </w:rPr>
              <w:t xml:space="preserve">Smile ID</w:t>
            </w:r>
          </w:p>
        </w:tc>
        <w:tc>
          <w:tcPr>
            <w:tcW w:type="dxa" w:w="252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Emerging markets</w:t>
            </w:r>
          </w:p>
        </w:tc>
        <w:tc>
          <w:tcPr>
            <w:tcW w:type="dxa" w:w="252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Low cost, unbanked ID support</w:t>
            </w:r>
          </w:p>
        </w:tc>
        <w:tc>
          <w:tcPr>
            <w:tcW w:type="dxa" w:w="252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For unbanked user segments</w:t>
            </w:r>
          </w:p>
        </w:tc>
      </w:tr>
    </w:tbl>
    <w:p>
      <w:pPr>
        <w:spacing w:after="100" w:before="100"/>
      </w:pPr>
      <w:r>
        <w:rPr>
          <w:sz w:val="20"/>
          <w:szCs w:val="20"/>
        </w:rPr>
        <w:t xml:space="preserve"/>
      </w:r>
    </w:p>
    <w:p>
      <w:pPr>
        <w:spacing w:after="80" w:before="260"/>
      </w:pPr>
      <w:r>
        <w:rPr>
          <w:rFonts w:ascii="Calibri" w:cs="Calibri" w:eastAsia="Calibri" w:hAnsi="Calibri"/>
          <w:b/>
          <w:bCs/>
          <w:color w:val="2563EB"/>
          <w:sz w:val="26"/>
          <w:szCs w:val="26"/>
        </w:rPr>
        <w:t xml:space="preserve">3.4  Layer 4: Stablecoin On/Off Ramp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040"/>
        <w:gridCol w:w="2520"/>
      </w:tblGrid>
      <w:tr>
        <w:tc>
          <w:tcPr>
            <w:tcW w:type="dxa" w:w="1800"/>
            <w:tcBorders>
              <w:top w:val="single" w:color="CCCCCC" w:sz="1"/>
              <w:left w:val="single" w:color="CCCCCC" w:sz="1"/>
              <w:bottom w:val="single" w:color="CCCCCC" w:sz="1"/>
              <w:right w:val="single" w:color="CCCCCC" w:sz="1"/>
            </w:tcBorders>
            <w:shd w:fill="0D1B4B" w:val="clear"/>
            <w:tcMar>
              <w:top w:type="dxa" w:w="60"/>
              <w:left w:type="dxa" w:w="120"/>
              <w:bottom w:type="dxa" w:w="60"/>
              <w:right w:type="dxa" w:w="120"/>
            </w:tcMar>
            <w:vAlign w:val="center"/>
          </w:tcPr>
          <w:p>
            <w:pPr>
              <w:jc w:val="center"/>
            </w:pPr>
            <w:r>
              <w:rPr>
                <w:rFonts w:ascii="Calibri" w:cs="Calibri" w:eastAsia="Calibri" w:hAnsi="Calibri"/>
                <w:b/>
                <w:bCs/>
                <w:color w:val="FFFFFF"/>
                <w:sz w:val="20"/>
                <w:szCs w:val="20"/>
              </w:rPr>
              <w:t xml:space="preserve">Provider</w:t>
            </w:r>
          </w:p>
        </w:tc>
        <w:tc>
          <w:tcPr>
            <w:tcW w:type="dxa" w:w="5040"/>
            <w:tcBorders>
              <w:top w:val="single" w:color="CCCCCC" w:sz="1"/>
              <w:left w:val="single" w:color="CCCCCC" w:sz="1"/>
              <w:bottom w:val="single" w:color="CCCCCC" w:sz="1"/>
              <w:right w:val="single" w:color="CCCCCC" w:sz="1"/>
            </w:tcBorders>
            <w:shd w:fill="0D1B4B" w:val="clear"/>
            <w:tcMar>
              <w:top w:type="dxa" w:w="60"/>
              <w:left w:type="dxa" w:w="120"/>
              <w:bottom w:type="dxa" w:w="60"/>
              <w:right w:type="dxa" w:w="120"/>
            </w:tcMar>
            <w:vAlign w:val="center"/>
          </w:tcPr>
          <w:p>
            <w:pPr>
              <w:jc w:val="center"/>
            </w:pPr>
            <w:r>
              <w:rPr>
                <w:rFonts w:ascii="Calibri" w:cs="Calibri" w:eastAsia="Calibri" w:hAnsi="Calibri"/>
                <w:b/>
                <w:bCs/>
                <w:color w:val="FFFFFF"/>
                <w:sz w:val="20"/>
                <w:szCs w:val="20"/>
              </w:rPr>
              <w:t xml:space="preserve">Role</w:t>
            </w:r>
          </w:p>
        </w:tc>
        <w:tc>
          <w:tcPr>
            <w:tcW w:type="dxa" w:w="2520"/>
            <w:tcBorders>
              <w:top w:val="single" w:color="CCCCCC" w:sz="1"/>
              <w:left w:val="single" w:color="CCCCCC" w:sz="1"/>
              <w:bottom w:val="single" w:color="CCCCCC" w:sz="1"/>
              <w:right w:val="single" w:color="CCCCCC" w:sz="1"/>
            </w:tcBorders>
            <w:shd w:fill="0D1B4B" w:val="clear"/>
            <w:tcMar>
              <w:top w:type="dxa" w:w="60"/>
              <w:left w:type="dxa" w:w="120"/>
              <w:bottom w:type="dxa" w:w="60"/>
              <w:right w:type="dxa" w:w="120"/>
            </w:tcMar>
            <w:vAlign w:val="center"/>
          </w:tcPr>
          <w:p>
            <w:pPr>
              <w:jc w:val="center"/>
            </w:pPr>
            <w:r>
              <w:rPr>
                <w:rFonts w:ascii="Calibri" w:cs="Calibri" w:eastAsia="Calibri" w:hAnsi="Calibri"/>
                <w:b/>
                <w:bCs/>
                <w:color w:val="FFFFFF"/>
                <w:sz w:val="20"/>
                <w:szCs w:val="20"/>
              </w:rPr>
              <w:t xml:space="preserve">Recommendation</w:t>
            </w:r>
          </w:p>
        </w:tc>
      </w:tr>
      <w:tr>
        <w:tc>
          <w:tcPr>
            <w:tcW w:type="dxa" w:w="1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bCs/>
                <w:color w:val="111111"/>
                <w:sz w:val="19"/>
                <w:szCs w:val="19"/>
              </w:rPr>
              <w:t xml:space="preserve">Circle (USDC)</w:t>
            </w:r>
          </w:p>
        </w:tc>
        <w:tc>
          <w:tcPr>
            <w:tcW w:type="dxa" w:w="504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Issues USDC, yield products on reserves, Circle Payments Network for on/off ramp across Caribbean</w:t>
            </w:r>
          </w:p>
        </w:tc>
        <w:tc>
          <w:tcPr>
            <w:tcW w:type="dxa" w:w="252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val="false"/>
                <w:bCs w:val="false"/>
                <w:color w:val="1A7A4A"/>
                <w:sz w:val="19"/>
                <w:szCs w:val="19"/>
              </w:rPr>
              <w:t xml:space="preserve">Primary stablecoin partner</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Calibri" w:cs="Calibri" w:eastAsia="Calibri" w:hAnsi="Calibri"/>
                <w:b/>
                <w:bCs/>
                <w:color w:val="111111"/>
                <w:sz w:val="19"/>
                <w:szCs w:val="19"/>
              </w:rPr>
              <w:t xml:space="preserve">Zero Hash</w:t>
            </w:r>
          </w:p>
        </w:tc>
        <w:tc>
          <w:tcPr>
            <w:tcW w:type="dxa" w:w="50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Embeds stablecoin custody and settlement without requiring a crypto licence for Kin</w:t>
            </w:r>
          </w:p>
        </w:tc>
        <w:tc>
          <w:tcPr>
            <w:tcW w:type="dxa" w:w="25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Custody &amp; settlement layer</w:t>
            </w:r>
          </w:p>
        </w:tc>
      </w:tr>
      <w:tr>
        <w:tc>
          <w:tcPr>
            <w:tcW w:type="dxa" w:w="1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bCs/>
                <w:color w:val="111111"/>
                <w:sz w:val="19"/>
                <w:szCs w:val="19"/>
              </w:rPr>
              <w:t xml:space="preserve">Bridge (Stripe)</w:t>
            </w:r>
          </w:p>
        </w:tc>
        <w:tc>
          <w:tcPr>
            <w:tcW w:type="dxa" w:w="504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On/off-ramp, virtual accounts, Visa card integration — growing Caribbean coverage in 2025</w:t>
            </w:r>
          </w:p>
        </w:tc>
        <w:tc>
          <w:tcPr>
            <w:tcW w:type="dxa" w:w="252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Year 2 expansion option</w:t>
            </w:r>
          </w:p>
        </w:tc>
      </w:tr>
    </w:tbl>
    <w:p>
      <w:r>
        <w:br w:type="page"/>
      </w:r>
    </w:p>
    <w:p>
      <w:pPr>
        <w:pBdr>
          <w:bottom w:val="single" w:color="C9A84C" w:sz="8" w:space="4"/>
        </w:pBdr>
        <w:spacing w:after="160" w:before="400"/>
      </w:pPr>
      <w:r>
        <w:rPr>
          <w:rFonts w:ascii="Calibri" w:cs="Calibri" w:eastAsia="Calibri" w:hAnsi="Calibri"/>
          <w:b/>
          <w:bCs/>
          <w:color w:val="0D1B4B"/>
          <w:sz w:val="36"/>
          <w:szCs w:val="36"/>
        </w:rPr>
        <w:t xml:space="preserve">4. Recommended Stablecoins</w:t>
      </w:r>
    </w:p>
    <w:p>
      <w:pPr>
        <w:spacing w:after="60" w:before="60"/>
      </w:pPr>
      <w:r>
        <w:rPr>
          <w:rFonts w:ascii="Calibri" w:cs="Calibri" w:eastAsia="Calibri" w:hAnsi="Calibri"/>
          <w:b w:val="false"/>
          <w:bCs w:val="false"/>
          <w:color w:val="111111"/>
          <w:sz w:val="20"/>
          <w:szCs w:val="20"/>
        </w:rPr>
        <w:t xml:space="preserve">Stablecoins are digital tokens pegged 1:1 to a stable asset — in Kin's case, the US Dollar. User balances are held as USDC (digital dollars), and the card converts to local Caribbean fiat at point of sale in real time. The user experience is identical to a standard debit card — the infrastructure underneath is simply faster, cheaper, and more profitable.</w:t>
      </w:r>
    </w:p>
    <w:p>
      <w:pPr>
        <w:spacing w:after="100" w:before="10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300"/>
        <w:gridCol w:w="1300"/>
        <w:gridCol w:w="1700"/>
        <w:gridCol w:w="1500"/>
        <w:gridCol w:w="2000"/>
      </w:tblGrid>
      <w:tr>
        <w:tc>
          <w:tcPr>
            <w:tcW w:type="dxa" w:w="1560"/>
            <w:tcBorders>
              <w:top w:val="single" w:color="CCCCCC" w:sz="1"/>
              <w:left w:val="single" w:color="CCCCCC" w:sz="1"/>
              <w:bottom w:val="single" w:color="CCCCCC" w:sz="1"/>
              <w:right w:val="single" w:color="CCCCCC" w:sz="1"/>
            </w:tcBorders>
            <w:shd w:fill="0D1B4B" w:val="clear"/>
            <w:tcMar>
              <w:top w:type="dxa" w:w="60"/>
              <w:left w:type="dxa" w:w="120"/>
              <w:bottom w:type="dxa" w:w="60"/>
              <w:right w:type="dxa" w:w="120"/>
            </w:tcMar>
            <w:vAlign w:val="center"/>
          </w:tcPr>
          <w:p>
            <w:pPr>
              <w:jc w:val="center"/>
            </w:pPr>
            <w:r>
              <w:rPr>
                <w:rFonts w:ascii="Calibri" w:cs="Calibri" w:eastAsia="Calibri" w:hAnsi="Calibri"/>
                <w:b/>
                <w:bCs/>
                <w:color w:val="FFFFFF"/>
                <w:sz w:val="20"/>
                <w:szCs w:val="20"/>
              </w:rPr>
              <w:t xml:space="preserve">Stablecoin</w:t>
            </w:r>
          </w:p>
        </w:tc>
        <w:tc>
          <w:tcPr>
            <w:tcW w:type="dxa" w:w="1300"/>
            <w:tcBorders>
              <w:top w:val="single" w:color="CCCCCC" w:sz="1"/>
              <w:left w:val="single" w:color="CCCCCC" w:sz="1"/>
              <w:bottom w:val="single" w:color="CCCCCC" w:sz="1"/>
              <w:right w:val="single" w:color="CCCCCC" w:sz="1"/>
            </w:tcBorders>
            <w:shd w:fill="0D1B4B" w:val="clear"/>
            <w:tcMar>
              <w:top w:type="dxa" w:w="60"/>
              <w:left w:type="dxa" w:w="120"/>
              <w:bottom w:type="dxa" w:w="60"/>
              <w:right w:type="dxa" w:w="120"/>
            </w:tcMar>
            <w:vAlign w:val="center"/>
          </w:tcPr>
          <w:p>
            <w:pPr>
              <w:jc w:val="center"/>
            </w:pPr>
            <w:r>
              <w:rPr>
                <w:rFonts w:ascii="Calibri" w:cs="Calibri" w:eastAsia="Calibri" w:hAnsi="Calibri"/>
                <w:b/>
                <w:bCs/>
                <w:color w:val="FFFFFF"/>
                <w:sz w:val="20"/>
                <w:szCs w:val="20"/>
              </w:rPr>
              <w:t xml:space="preserve">Issuer</w:t>
            </w:r>
          </w:p>
        </w:tc>
        <w:tc>
          <w:tcPr>
            <w:tcW w:type="dxa" w:w="1300"/>
            <w:tcBorders>
              <w:top w:val="single" w:color="CCCCCC" w:sz="1"/>
              <w:left w:val="single" w:color="CCCCCC" w:sz="1"/>
              <w:bottom w:val="single" w:color="CCCCCC" w:sz="1"/>
              <w:right w:val="single" w:color="CCCCCC" w:sz="1"/>
            </w:tcBorders>
            <w:shd w:fill="0D1B4B" w:val="clear"/>
            <w:tcMar>
              <w:top w:type="dxa" w:w="60"/>
              <w:left w:type="dxa" w:w="120"/>
              <w:bottom w:type="dxa" w:w="60"/>
              <w:right w:type="dxa" w:w="120"/>
            </w:tcMar>
            <w:vAlign w:val="center"/>
          </w:tcPr>
          <w:p>
            <w:pPr>
              <w:jc w:val="center"/>
            </w:pPr>
            <w:r>
              <w:rPr>
                <w:rFonts w:ascii="Calibri" w:cs="Calibri" w:eastAsia="Calibri" w:hAnsi="Calibri"/>
                <w:b/>
                <w:bCs/>
                <w:color w:val="FFFFFF"/>
                <w:sz w:val="20"/>
                <w:szCs w:val="20"/>
              </w:rPr>
              <w:t xml:space="preserve">Peg</w:t>
            </w:r>
          </w:p>
        </w:tc>
        <w:tc>
          <w:tcPr>
            <w:tcW w:type="dxa" w:w="1700"/>
            <w:tcBorders>
              <w:top w:val="single" w:color="CCCCCC" w:sz="1"/>
              <w:left w:val="single" w:color="CCCCCC" w:sz="1"/>
              <w:bottom w:val="single" w:color="CCCCCC" w:sz="1"/>
              <w:right w:val="single" w:color="CCCCCC" w:sz="1"/>
            </w:tcBorders>
            <w:shd w:fill="0D1B4B" w:val="clear"/>
            <w:tcMar>
              <w:top w:type="dxa" w:w="60"/>
              <w:left w:type="dxa" w:w="120"/>
              <w:bottom w:type="dxa" w:w="60"/>
              <w:right w:type="dxa" w:w="120"/>
            </w:tcMar>
            <w:vAlign w:val="center"/>
          </w:tcPr>
          <w:p>
            <w:pPr>
              <w:jc w:val="center"/>
            </w:pPr>
            <w:r>
              <w:rPr>
                <w:rFonts w:ascii="Calibri" w:cs="Calibri" w:eastAsia="Calibri" w:hAnsi="Calibri"/>
                <w:b/>
                <w:bCs/>
                <w:color w:val="FFFFFF"/>
                <w:sz w:val="20"/>
                <w:szCs w:val="20"/>
              </w:rPr>
              <w:t xml:space="preserve">Regulatory Status</w:t>
            </w:r>
          </w:p>
        </w:tc>
        <w:tc>
          <w:tcPr>
            <w:tcW w:type="dxa" w:w="1500"/>
            <w:tcBorders>
              <w:top w:val="single" w:color="CCCCCC" w:sz="1"/>
              <w:left w:val="single" w:color="CCCCCC" w:sz="1"/>
              <w:bottom w:val="single" w:color="CCCCCC" w:sz="1"/>
              <w:right w:val="single" w:color="CCCCCC" w:sz="1"/>
            </w:tcBorders>
            <w:shd w:fill="0D1B4B" w:val="clear"/>
            <w:tcMar>
              <w:top w:type="dxa" w:w="60"/>
              <w:left w:type="dxa" w:w="120"/>
              <w:bottom w:type="dxa" w:w="60"/>
              <w:right w:type="dxa" w:w="120"/>
            </w:tcMar>
            <w:vAlign w:val="center"/>
          </w:tcPr>
          <w:p>
            <w:pPr>
              <w:jc w:val="center"/>
            </w:pPr>
            <w:r>
              <w:rPr>
                <w:rFonts w:ascii="Calibri" w:cs="Calibri" w:eastAsia="Calibri" w:hAnsi="Calibri"/>
                <w:b/>
                <w:bCs/>
                <w:color w:val="FFFFFF"/>
                <w:sz w:val="20"/>
                <w:szCs w:val="20"/>
              </w:rPr>
              <w:t xml:space="preserve">Liquidity</w:t>
            </w:r>
          </w:p>
        </w:tc>
        <w:tc>
          <w:tcPr>
            <w:tcW w:type="dxa" w:w="2000"/>
            <w:tcBorders>
              <w:top w:val="single" w:color="CCCCCC" w:sz="1"/>
              <w:left w:val="single" w:color="CCCCCC" w:sz="1"/>
              <w:bottom w:val="single" w:color="CCCCCC" w:sz="1"/>
              <w:right w:val="single" w:color="CCCCCC" w:sz="1"/>
            </w:tcBorders>
            <w:shd w:fill="0D1B4B" w:val="clear"/>
            <w:tcMar>
              <w:top w:type="dxa" w:w="60"/>
              <w:left w:type="dxa" w:w="120"/>
              <w:bottom w:type="dxa" w:w="60"/>
              <w:right w:type="dxa" w:w="120"/>
            </w:tcMar>
            <w:vAlign w:val="center"/>
          </w:tcPr>
          <w:p>
            <w:pPr>
              <w:jc w:val="center"/>
            </w:pPr>
            <w:r>
              <w:rPr>
                <w:rFonts w:ascii="Calibri" w:cs="Calibri" w:eastAsia="Calibri" w:hAnsi="Calibri"/>
                <w:b/>
                <w:bCs/>
                <w:color w:val="FFFFFF"/>
                <w:sz w:val="20"/>
                <w:szCs w:val="20"/>
              </w:rPr>
              <w:t xml:space="preserve">Kin Verdict</w:t>
            </w:r>
          </w:p>
        </w:tc>
      </w:tr>
      <w:tr>
        <w:tc>
          <w:tcPr>
            <w:tcW w:type="dxa" w:w="1560"/>
            <w:tcBorders>
              <w:top w:val="single" w:color="CCCCCC" w:sz="1"/>
              <w:left w:val="single" w:color="CCCCCC" w:sz="1"/>
              <w:bottom w:val="single" w:color="CCCCCC" w:sz="1"/>
              <w:right w:val="single" w:color="CCCCCC" w:sz="1"/>
            </w:tcBorders>
            <w:shd w:fill="FDF3DC" w:val="clear"/>
            <w:tcMar>
              <w:top w:type="dxa" w:w="90"/>
              <w:left w:type="dxa" w:w="140"/>
              <w:bottom w:type="dxa" w:w="90"/>
              <w:right w:type="dxa" w:w="140"/>
            </w:tcMar>
            <w:vAlign w:val="center"/>
          </w:tcPr>
          <w:p>
            <w:pPr>
              <w:jc w:val="left"/>
            </w:pPr>
            <w:r>
              <w:rPr>
                <w:rFonts w:ascii="Calibri" w:cs="Calibri" w:eastAsia="Calibri" w:hAnsi="Calibri"/>
                <w:b/>
                <w:bCs/>
                <w:color w:val="111111"/>
                <w:sz w:val="19"/>
                <w:szCs w:val="19"/>
              </w:rPr>
              <w:t xml:space="preserve">USDC</w:t>
            </w:r>
          </w:p>
        </w:tc>
        <w:tc>
          <w:tcPr>
            <w:tcW w:type="dxa" w:w="1300"/>
            <w:tcBorders>
              <w:top w:val="single" w:color="CCCCCC" w:sz="1"/>
              <w:left w:val="single" w:color="CCCCCC" w:sz="1"/>
              <w:bottom w:val="single" w:color="CCCCCC" w:sz="1"/>
              <w:right w:val="single" w:color="CCCCCC" w:sz="1"/>
            </w:tcBorders>
            <w:shd w:fill="FDF3DC"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Circle</w:t>
            </w:r>
          </w:p>
        </w:tc>
        <w:tc>
          <w:tcPr>
            <w:tcW w:type="dxa" w:w="1300"/>
            <w:tcBorders>
              <w:top w:val="single" w:color="CCCCCC" w:sz="1"/>
              <w:left w:val="single" w:color="CCCCCC" w:sz="1"/>
              <w:bottom w:val="single" w:color="CCCCCC" w:sz="1"/>
              <w:right w:val="single" w:color="CCCCCC" w:sz="1"/>
            </w:tcBorders>
            <w:shd w:fill="FDF3DC"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1:1 USD</w:t>
            </w:r>
          </w:p>
        </w:tc>
        <w:tc>
          <w:tcPr>
            <w:tcW w:type="dxa" w:w="1700"/>
            <w:tcBorders>
              <w:top w:val="single" w:color="CCCCCC" w:sz="1"/>
              <w:left w:val="single" w:color="CCCCCC" w:sz="1"/>
              <w:bottom w:val="single" w:color="CCCCCC" w:sz="1"/>
              <w:right w:val="single" w:color="CCCCCC" w:sz="1"/>
            </w:tcBorders>
            <w:shd w:fill="FDF3DC"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Fully regulated, GENIUS Act compliant</w:t>
            </w:r>
          </w:p>
        </w:tc>
        <w:tc>
          <w:tcPr>
            <w:tcW w:type="dxa" w:w="1500"/>
            <w:tcBorders>
              <w:top w:val="single" w:color="CCCCCC" w:sz="1"/>
              <w:left w:val="single" w:color="CCCCCC" w:sz="1"/>
              <w:bottom w:val="single" w:color="CCCCCC" w:sz="1"/>
              <w:right w:val="single" w:color="CCCCCC" w:sz="1"/>
            </w:tcBorders>
            <w:shd w:fill="FDF3DC"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$55B+ supply</w:t>
            </w:r>
          </w:p>
        </w:tc>
        <w:tc>
          <w:tcPr>
            <w:tcW w:type="dxa" w:w="2000"/>
            <w:tcBorders>
              <w:top w:val="single" w:color="CCCCCC" w:sz="1"/>
              <w:left w:val="single" w:color="CCCCCC" w:sz="1"/>
              <w:bottom w:val="single" w:color="CCCCCC" w:sz="1"/>
              <w:right w:val="single" w:color="CCCCCC" w:sz="1"/>
            </w:tcBorders>
            <w:shd w:fill="FDF3DC" w:val="clear"/>
            <w:tcMar>
              <w:top w:type="dxa" w:w="90"/>
              <w:left w:type="dxa" w:w="140"/>
              <w:bottom w:type="dxa" w:w="90"/>
              <w:right w:type="dxa" w:w="140"/>
            </w:tcMar>
            <w:vAlign w:val="center"/>
          </w:tcPr>
          <w:p>
            <w:pPr>
              <w:jc w:val="left"/>
            </w:pPr>
            <w:r>
              <w:rPr>
                <w:rFonts w:ascii="Calibri" w:cs="Calibri" w:eastAsia="Calibri" w:hAnsi="Calibri"/>
                <w:b/>
                <w:bCs/>
                <w:color w:val="C9A84C"/>
                <w:sz w:val="19"/>
                <w:szCs w:val="19"/>
              </w:rPr>
              <w:t xml:space="preserve">PRIMARY CHOICE</w:t>
            </w:r>
          </w:p>
        </w:tc>
      </w:tr>
      <w:tr>
        <w:tc>
          <w:tcPr>
            <w:tcW w:type="dxa" w:w="1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bCs/>
                <w:color w:val="111111"/>
                <w:sz w:val="19"/>
                <w:szCs w:val="19"/>
              </w:rPr>
              <w:t xml:space="preserve">USDT</w:t>
            </w:r>
          </w:p>
        </w:tc>
        <w:tc>
          <w:tcPr>
            <w:tcW w:type="dxa" w:w="13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Tether</w:t>
            </w:r>
          </w:p>
        </w:tc>
        <w:tc>
          <w:tcPr>
            <w:tcW w:type="dxa" w:w="13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1:1 USD</w:t>
            </w:r>
          </w:p>
        </w:tc>
        <w:tc>
          <w:tcPr>
            <w:tcW w:type="dxa" w:w="17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Offshore, less transparent</w:t>
            </w:r>
          </w:p>
        </w:tc>
        <w:tc>
          <w:tcPr>
            <w:tcW w:type="dxa" w:w="15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$115B+ supply</w:t>
            </w:r>
          </w:p>
        </w:tc>
        <w:tc>
          <w:tcPr>
            <w:tcW w:type="dxa" w:w="20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Secondary — regulatory risk</w:t>
            </w:r>
          </w:p>
        </w:tc>
      </w:tr>
      <w:tr>
        <w:tc>
          <w:tcPr>
            <w:tcW w:type="dxa" w:w="1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Calibri" w:cs="Calibri" w:eastAsia="Calibri" w:hAnsi="Calibri"/>
                <w:b/>
                <w:bCs/>
                <w:color w:val="111111"/>
                <w:sz w:val="19"/>
                <w:szCs w:val="19"/>
              </w:rPr>
              <w:t xml:space="preserve">PYUSD</w:t>
            </w:r>
          </w:p>
        </w:tc>
        <w:tc>
          <w:tcPr>
            <w:tcW w:type="dxa" w:w="13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PayPal/Paxos</w:t>
            </w:r>
          </w:p>
        </w:tc>
        <w:tc>
          <w:tcPr>
            <w:tcW w:type="dxa" w:w="13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1:1 USD</w:t>
            </w:r>
          </w:p>
        </w:tc>
        <w:tc>
          <w:tcPr>
            <w:tcW w:type="dxa" w:w="17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US-regulated, MC-integrated</w:t>
            </w:r>
          </w:p>
        </w:tc>
        <w:tc>
          <w:tcPr>
            <w:tcW w:type="dxa" w:w="1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$1B+ supply</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Year 2 addition</w:t>
            </w:r>
          </w:p>
        </w:tc>
      </w:tr>
      <w:tr>
        <w:tc>
          <w:tcPr>
            <w:tcW w:type="dxa" w:w="1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bCs/>
                <w:color w:val="111111"/>
                <w:sz w:val="19"/>
                <w:szCs w:val="19"/>
              </w:rPr>
              <w:t xml:space="preserve">USDG</w:t>
            </w:r>
          </w:p>
        </w:tc>
        <w:tc>
          <w:tcPr>
            <w:tcW w:type="dxa" w:w="13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Global Dollar Network</w:t>
            </w:r>
          </w:p>
        </w:tc>
        <w:tc>
          <w:tcPr>
            <w:tcW w:type="dxa" w:w="13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1:1 USD</w:t>
            </w:r>
          </w:p>
        </w:tc>
        <w:tc>
          <w:tcPr>
            <w:tcW w:type="dxa" w:w="17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Mastercard-backed consortium</w:t>
            </w:r>
          </w:p>
        </w:tc>
        <w:tc>
          <w:tcPr>
            <w:tcW w:type="dxa" w:w="15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Growing</w:t>
            </w:r>
          </w:p>
        </w:tc>
        <w:tc>
          <w:tcPr>
            <w:tcW w:type="dxa" w:w="20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Year 2 via Mastercard</w:t>
            </w:r>
          </w:p>
        </w:tc>
      </w:tr>
    </w:tbl>
    <w:p>
      <w:pPr>
        <w:spacing w:after="100" w:before="100"/>
      </w:pPr>
      <w:r>
        <w:rPr>
          <w:sz w:val="20"/>
          <w:szCs w:val="20"/>
        </w:rPr>
        <w:t xml:space="preserve"/>
      </w:r>
    </w:p>
    <w:p>
      <w:pPr>
        <w:pBdr>
          <w:left w:val="single" w:color="2563EB" w:sz="18" w:space="8"/>
        </w:pBdr>
        <w:shd w:fill="E8EEF9" w:val="clear"/>
        <w:spacing w:after="140" w:before="140"/>
      </w:pPr>
      <w:r>
        <w:rPr>
          <w:rFonts w:ascii="Calibri" w:cs="Calibri" w:eastAsia="Calibri" w:hAnsi="Calibri"/>
          <w:i/>
          <w:iCs/>
          <w:color w:val="0D1B4B"/>
          <w:sz w:val="20"/>
          <w:szCs w:val="20"/>
        </w:rPr>
        <w:t xml:space="preserve">Kin launches with USDC as the sole stablecoin. USDC is issued by Circle, fully regulated, holds 1:1 USD reserves, and earns 3–5% APY on held balances — giving Kin a passive revenue stream from every dollar users keep in the app.</w:t>
      </w:r>
    </w:p>
    <w:p>
      <w:pPr>
        <w:spacing w:after="100" w:before="100"/>
      </w:pPr>
      <w:r>
        <w:rPr>
          <w:sz w:val="20"/>
          <w:szCs w:val="20"/>
        </w:rPr>
        <w:t xml:space="preserve"/>
      </w:r>
    </w:p>
    <w:p>
      <w:pPr>
        <w:spacing w:after="80" w:before="260"/>
      </w:pPr>
      <w:r>
        <w:rPr>
          <w:rFonts w:ascii="Calibri" w:cs="Calibri" w:eastAsia="Calibri" w:hAnsi="Calibri"/>
          <w:b/>
          <w:bCs/>
          <w:color w:val="2563EB"/>
          <w:sz w:val="26"/>
          <w:szCs w:val="26"/>
        </w:rPr>
        <w:t xml:space="preserve">Why USDC Is the Right Choice</w:t>
      </w:r>
    </w:p>
    <w:p>
      <w:pPr>
        <w:pStyle w:val="ListParagraph"/>
        <w:numPr>
          <w:ilvl w:val="0"/>
          <w:numId w:val="2"/>
        </w:numPr>
        <w:spacing w:after="44" w:before="44"/>
      </w:pPr>
      <w:r>
        <w:rPr>
          <w:rFonts w:ascii="Calibri" w:cs="Calibri" w:eastAsia="Calibri" w:hAnsi="Calibri"/>
          <w:sz w:val="20"/>
          <w:szCs w:val="20"/>
        </w:rPr>
        <w:t xml:space="preserve">Regulatory safety: Circle is fully regulated and compliant with the GENIUS Act (signed 2025) — the first US federal stablecoin framework, giving institutional and regulatory confidence</w:t>
      </w:r>
    </w:p>
    <w:p>
      <w:pPr>
        <w:pStyle w:val="ListParagraph"/>
        <w:numPr>
          <w:ilvl w:val="0"/>
          <w:numId w:val="2"/>
        </w:numPr>
        <w:spacing w:after="44" w:before="44"/>
      </w:pPr>
      <w:r>
        <w:rPr>
          <w:rFonts w:ascii="Calibri" w:cs="Calibri" w:eastAsia="Calibri" w:hAnsi="Calibri"/>
          <w:sz w:val="20"/>
          <w:szCs w:val="20"/>
        </w:rPr>
        <w:t xml:space="preserve">Yield: Circle's reserve products allow Kin to earn ~4% APY on user float — passive revenue with zero marginal cost</w:t>
      </w:r>
    </w:p>
    <w:p>
      <w:pPr>
        <w:pStyle w:val="ListParagraph"/>
        <w:numPr>
          <w:ilvl w:val="0"/>
          <w:numId w:val="2"/>
        </w:numPr>
        <w:spacing w:after="44" w:before="44"/>
      </w:pPr>
      <w:r>
        <w:rPr>
          <w:rFonts w:ascii="Calibri" w:cs="Calibri" w:eastAsia="Calibri" w:hAnsi="Calibri"/>
          <w:sz w:val="20"/>
          <w:szCs w:val="20"/>
        </w:rPr>
        <w:t xml:space="preserve">Ecosystem: USDC is natively supported by Rain, Visa, Circle Payments Network, and Stripe — all of Kin's core partners</w:t>
      </w:r>
    </w:p>
    <w:p>
      <w:pPr>
        <w:pStyle w:val="ListParagraph"/>
        <w:numPr>
          <w:ilvl w:val="0"/>
          <w:numId w:val="2"/>
        </w:numPr>
        <w:spacing w:after="44" w:before="44"/>
      </w:pPr>
      <w:r>
        <w:rPr>
          <w:rFonts w:ascii="Calibri" w:cs="Calibri" w:eastAsia="Calibri" w:hAnsi="Calibri"/>
          <w:sz w:val="20"/>
          <w:szCs w:val="20"/>
        </w:rPr>
        <w:t xml:space="preserve">Transparency: Monthly reserve attestations by Grant Thornton — critical for investor and regulator trust in a new market</w:t>
      </w:r>
    </w:p>
    <w:p>
      <w:pPr>
        <w:pStyle w:val="ListParagraph"/>
        <w:numPr>
          <w:ilvl w:val="0"/>
          <w:numId w:val="2"/>
        </w:numPr>
        <w:spacing w:after="44" w:before="44"/>
      </w:pPr>
      <w:r>
        <w:rPr>
          <w:rFonts w:ascii="Calibri" w:cs="Calibri" w:eastAsia="Calibri" w:hAnsi="Calibri"/>
          <w:sz w:val="20"/>
          <w:szCs w:val="20"/>
        </w:rPr>
        <w:t xml:space="preserve">Caribbean precedent: USDC is already used for remittance corridors in the Caribbean, meaning local on/off-ramp liquidity exists today</w:t>
      </w:r>
    </w:p>
    <w:p>
      <w:r>
        <w:br w:type="page"/>
      </w:r>
    </w:p>
    <w:p>
      <w:pPr>
        <w:pBdr>
          <w:bottom w:val="single" w:color="C9A84C" w:sz="8" w:space="4"/>
        </w:pBdr>
        <w:spacing w:after="160" w:before="400"/>
      </w:pPr>
      <w:r>
        <w:rPr>
          <w:rFonts w:ascii="Calibri" w:cs="Calibri" w:eastAsia="Calibri" w:hAnsi="Calibri"/>
          <w:b/>
          <w:bCs/>
          <w:color w:val="0D1B4B"/>
          <w:sz w:val="36"/>
          <w:szCs w:val="36"/>
        </w:rPr>
        <w:t xml:space="preserve">5. How Kin Works: End-to-End System Architecture</w:t>
      </w:r>
    </w:p>
    <w:p>
      <w:pPr>
        <w:spacing w:after="60" w:before="60"/>
      </w:pPr>
      <w:r>
        <w:rPr>
          <w:rFonts w:ascii="Calibri" w:cs="Calibri" w:eastAsia="Calibri" w:hAnsi="Calibri"/>
          <w:b w:val="false"/>
          <w:bCs w:val="false"/>
          <w:color w:val="111111"/>
          <w:sz w:val="20"/>
          <w:szCs w:val="20"/>
        </w:rPr>
        <w:t xml:space="preserve">This section explains the complete user journey and the technical infrastructure that powers it — from the moment a user signs up through to a card transaction completing at a merchant. Each step maps to a specific API integration in the Kin stack.</w:t>
      </w:r>
    </w:p>
    <w:p>
      <w:pPr>
        <w:spacing w:after="100" w:before="100"/>
      </w:pPr>
      <w:r>
        <w:rPr>
          <w:sz w:val="20"/>
          <w:szCs w:val="20"/>
        </w:rPr>
        <w:t xml:space="preserve"/>
      </w:r>
    </w:p>
    <w:p>
      <w:pPr>
        <w:spacing w:after="80" w:before="260"/>
      </w:pPr>
      <w:r>
        <w:rPr>
          <w:rFonts w:ascii="Calibri" w:cs="Calibri" w:eastAsia="Calibri" w:hAnsi="Calibri"/>
          <w:b/>
          <w:bCs/>
          <w:color w:val="2563EB"/>
          <w:sz w:val="26"/>
          <w:szCs w:val="26"/>
        </w:rPr>
        <w:t xml:space="preserve">5.1  User Journey —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3180"/>
        <w:gridCol w:w="3180"/>
      </w:tblGrid>
      <w:tr>
        <w:tc>
          <w:tcPr>
            <w:tcW w:type="dxa" w:w="500"/>
            <w:tcBorders>
              <w:top w:val="single" w:color="CCCCCC" w:sz="1"/>
              <w:left w:val="single" w:color="CCCCCC" w:sz="1"/>
              <w:bottom w:val="single" w:color="CCCCCC" w:sz="1"/>
              <w:right w:val="single" w:color="CCCCCC" w:sz="1"/>
            </w:tcBorders>
            <w:shd w:fill="0D1B4B" w:val="clear"/>
            <w:tcMar>
              <w:top w:type="dxa" w:w="60"/>
              <w:left w:type="dxa" w:w="120"/>
              <w:bottom w:type="dxa" w:w="60"/>
              <w:right w:type="dxa" w:w="120"/>
            </w:tcMar>
            <w:vAlign w:val="center"/>
          </w:tcPr>
          <w:p>
            <w:pPr>
              <w:jc w:val="center"/>
            </w:pPr>
            <w:r>
              <w:rPr>
                <w:rFonts w:ascii="Calibri" w:cs="Calibri" w:eastAsia="Calibri" w:hAnsi="Calibri"/>
                <w:b/>
                <w:bCs/>
                <w:color w:val="FFFFFF"/>
                <w:sz w:val="20"/>
                <w:szCs w:val="20"/>
              </w:rPr>
              <w:t xml:space="preserve">#</w:t>
            </w:r>
          </w:p>
        </w:tc>
        <w:tc>
          <w:tcPr>
            <w:tcW w:type="dxa" w:w="2500"/>
            <w:tcBorders>
              <w:top w:val="single" w:color="CCCCCC" w:sz="1"/>
              <w:left w:val="single" w:color="CCCCCC" w:sz="1"/>
              <w:bottom w:val="single" w:color="CCCCCC" w:sz="1"/>
              <w:right w:val="single" w:color="CCCCCC" w:sz="1"/>
            </w:tcBorders>
            <w:shd w:fill="0D1B4B" w:val="clear"/>
            <w:tcMar>
              <w:top w:type="dxa" w:w="60"/>
              <w:left w:type="dxa" w:w="120"/>
              <w:bottom w:type="dxa" w:w="60"/>
              <w:right w:type="dxa" w:w="120"/>
            </w:tcMar>
            <w:vAlign w:val="center"/>
          </w:tcPr>
          <w:p>
            <w:pPr>
              <w:jc w:val="center"/>
            </w:pPr>
            <w:r>
              <w:rPr>
                <w:rFonts w:ascii="Calibri" w:cs="Calibri" w:eastAsia="Calibri" w:hAnsi="Calibri"/>
                <w:b/>
                <w:bCs/>
                <w:color w:val="FFFFFF"/>
                <w:sz w:val="20"/>
                <w:szCs w:val="20"/>
              </w:rPr>
              <w:t xml:space="preserve">User Action</w:t>
            </w:r>
          </w:p>
        </w:tc>
        <w:tc>
          <w:tcPr>
            <w:tcW w:type="dxa" w:w="3180"/>
            <w:tcBorders>
              <w:top w:val="single" w:color="CCCCCC" w:sz="1"/>
              <w:left w:val="single" w:color="CCCCCC" w:sz="1"/>
              <w:bottom w:val="single" w:color="CCCCCC" w:sz="1"/>
              <w:right w:val="single" w:color="CCCCCC" w:sz="1"/>
            </w:tcBorders>
            <w:shd w:fill="0D1B4B" w:val="clear"/>
            <w:tcMar>
              <w:top w:type="dxa" w:w="60"/>
              <w:left w:type="dxa" w:w="120"/>
              <w:bottom w:type="dxa" w:w="60"/>
              <w:right w:type="dxa" w:w="120"/>
            </w:tcMar>
            <w:vAlign w:val="center"/>
          </w:tcPr>
          <w:p>
            <w:pPr>
              <w:jc w:val="center"/>
            </w:pPr>
            <w:r>
              <w:rPr>
                <w:rFonts w:ascii="Calibri" w:cs="Calibri" w:eastAsia="Calibri" w:hAnsi="Calibri"/>
                <w:b/>
                <w:bCs/>
                <w:color w:val="FFFFFF"/>
                <w:sz w:val="20"/>
                <w:szCs w:val="20"/>
              </w:rPr>
              <w:t xml:space="preserve">What Happens Behind the Scenes</w:t>
            </w:r>
          </w:p>
        </w:tc>
        <w:tc>
          <w:tcPr>
            <w:tcW w:type="dxa" w:w="3180"/>
            <w:tcBorders>
              <w:top w:val="single" w:color="CCCCCC" w:sz="1"/>
              <w:left w:val="single" w:color="CCCCCC" w:sz="1"/>
              <w:bottom w:val="single" w:color="CCCCCC" w:sz="1"/>
              <w:right w:val="single" w:color="CCCCCC" w:sz="1"/>
            </w:tcBorders>
            <w:shd w:fill="0D1B4B" w:val="clear"/>
            <w:tcMar>
              <w:top w:type="dxa" w:w="60"/>
              <w:left w:type="dxa" w:w="120"/>
              <w:bottom w:type="dxa" w:w="60"/>
              <w:right w:type="dxa" w:w="120"/>
            </w:tcMar>
            <w:vAlign w:val="center"/>
          </w:tcPr>
          <w:p>
            <w:pPr>
              <w:jc w:val="center"/>
            </w:pPr>
            <w:r>
              <w:rPr>
                <w:rFonts w:ascii="Calibri" w:cs="Calibri" w:eastAsia="Calibri" w:hAnsi="Calibri"/>
                <w:b/>
                <w:bCs/>
                <w:color w:val="FFFFFF"/>
                <w:sz w:val="20"/>
                <w:szCs w:val="20"/>
              </w:rPr>
              <w:t xml:space="preserve">API / System Layer</w:t>
            </w:r>
          </w:p>
        </w:tc>
      </w:tr>
      <w:tr>
        <w:tc>
          <w:tcPr>
            <w:tcW w:type="dxa" w:w="5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center"/>
            </w:pPr>
            <w:r>
              <w:rPr>
                <w:rFonts w:ascii="Calibri" w:cs="Calibri" w:eastAsia="Calibri" w:hAnsi="Calibri"/>
                <w:b/>
                <w:bCs/>
                <w:color w:val="111111"/>
                <w:sz w:val="19"/>
                <w:szCs w:val="19"/>
              </w:rPr>
              <w:t xml:space="preserve">1</w:t>
            </w:r>
          </w:p>
        </w:tc>
        <w:tc>
          <w:tcPr>
            <w:tcW w:type="dxa" w:w="25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Downloads Kin app and enters mobile number</w:t>
            </w:r>
          </w:p>
        </w:tc>
        <w:tc>
          <w:tcPr>
            <w:tcW w:type="dxa" w:w="318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Account record created. Device fingerprint captured for fraud prevention.</w:t>
            </w:r>
          </w:p>
        </w:tc>
        <w:tc>
          <w:tcPr>
            <w:tcW w:type="dxa" w:w="318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Kin Core API + Firebase Auth</w:t>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Calibri" w:cs="Calibri" w:eastAsia="Calibri" w:hAnsi="Calibri"/>
                <w:b/>
                <w:bCs/>
                <w:color w:val="111111"/>
                <w:sz w:val="19"/>
                <w:szCs w:val="19"/>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Completes KYC — selfie and ID document upload</w:t>
            </w:r>
          </w:p>
        </w:tc>
        <w:tc>
          <w:tcPr>
            <w:tcW w:type="dxa" w:w="31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Document and biometric verified in under 60 seconds. Risk score assigned. BOJ compliance check passed.</w:t>
            </w:r>
          </w:p>
        </w:tc>
        <w:tc>
          <w:tcPr>
            <w:tcW w:type="dxa" w:w="31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Sumsub KYC API → Kin Risk Engine</w:t>
            </w:r>
          </w:p>
        </w:tc>
      </w:tr>
      <w:tr>
        <w:tc>
          <w:tcPr>
            <w:tcW w:type="dxa" w:w="5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center"/>
            </w:pPr>
            <w:r>
              <w:rPr>
                <w:rFonts w:ascii="Calibri" w:cs="Calibri" w:eastAsia="Calibri" w:hAnsi="Calibri"/>
                <w:b/>
                <w:bCs/>
                <w:color w:val="111111"/>
                <w:sz w:val="19"/>
                <w:szCs w:val="19"/>
              </w:rPr>
              <w:t xml:space="preserve">3</w:t>
            </w:r>
          </w:p>
        </w:tc>
        <w:tc>
          <w:tcPr>
            <w:tcW w:type="dxa" w:w="25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KYC approved — virtual card issued instantly</w:t>
            </w:r>
          </w:p>
        </w:tc>
        <w:tc>
          <w:tcPr>
            <w:tcW w:type="dxa" w:w="318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Rain API creates a card record. Virtual Visa card generated. Added to Apple Pay and Google Pay.</w:t>
            </w:r>
          </w:p>
        </w:tc>
        <w:tc>
          <w:tcPr>
            <w:tcW w:type="dxa" w:w="318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Rain Card Issuance API → Visa Token Service</w:t>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Calibri" w:cs="Calibri" w:eastAsia="Calibri" w:hAnsi="Calibri"/>
                <w:b/>
                <w:bCs/>
                <w:color w:val="111111"/>
                <w:sz w:val="19"/>
                <w:szCs w:val="19"/>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Requests physical card (optional $10 fee)</w:t>
            </w:r>
          </w:p>
        </w:tc>
        <w:tc>
          <w:tcPr>
            <w:tcW w:type="dxa" w:w="31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Personalisation order sent to card manufacturer. Shipped within 5–7 business days across the Caribbean.</w:t>
            </w:r>
          </w:p>
        </w:tc>
        <w:tc>
          <w:tcPr>
            <w:tcW w:type="dxa" w:w="31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Rain Fulfilment API → Card Bureau</w:t>
            </w:r>
          </w:p>
        </w:tc>
      </w:tr>
      <w:tr>
        <w:tc>
          <w:tcPr>
            <w:tcW w:type="dxa" w:w="5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center"/>
            </w:pPr>
            <w:r>
              <w:rPr>
                <w:rFonts w:ascii="Calibri" w:cs="Calibri" w:eastAsia="Calibri" w:hAnsi="Calibri"/>
                <w:b/>
                <w:bCs/>
                <w:color w:val="111111"/>
                <w:sz w:val="19"/>
                <w:szCs w:val="19"/>
              </w:rPr>
              <w:t xml:space="preserve">5</w:t>
            </w:r>
          </w:p>
        </w:tc>
        <w:tc>
          <w:tcPr>
            <w:tcW w:type="dxa" w:w="25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Loads money via bank transfer or mobile money</w:t>
            </w:r>
          </w:p>
        </w:tc>
        <w:tc>
          <w:tcPr>
            <w:tcW w:type="dxa" w:w="318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Fiat received → Circle on-ramp converts to USDC → credited to user's Kin account in real time.</w:t>
            </w:r>
          </w:p>
        </w:tc>
        <w:tc>
          <w:tcPr>
            <w:tcW w:type="dxa" w:w="318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Circle Payments Network → Rain Account API</w:t>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Calibri" w:cs="Calibri" w:eastAsia="Calibri" w:hAnsi="Calibri"/>
                <w:b/>
                <w:bCs/>
                <w:color w:val="111111"/>
                <w:sz w:val="19"/>
                <w:szCs w:val="19"/>
              </w:rPr>
              <w:t xml:space="preserve">6</w:t>
            </w:r>
          </w:p>
        </w:tc>
        <w:tc>
          <w:tcPr>
            <w:tcW w:type="dxa" w:w="2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Taps card at merchant (in-store or online)</w:t>
            </w:r>
          </w:p>
        </w:tc>
        <w:tc>
          <w:tcPr>
            <w:tcW w:type="dxa" w:w="31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Visa authorisation hits Rain. Rain checks USDC balance. Approves → converts USDC to local fiat → merchant paid. Kin earns interchange.</w:t>
            </w:r>
          </w:p>
        </w:tc>
        <w:tc>
          <w:tcPr>
            <w:tcW w:type="dxa" w:w="31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Visa Network → Rain Auth Engine → USDC Settlement</w:t>
            </w:r>
          </w:p>
        </w:tc>
      </w:tr>
      <w:tr>
        <w:tc>
          <w:tcPr>
            <w:tcW w:type="dxa" w:w="5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center"/>
            </w:pPr>
            <w:r>
              <w:rPr>
                <w:rFonts w:ascii="Calibri" w:cs="Calibri" w:eastAsia="Calibri" w:hAnsi="Calibri"/>
                <w:b/>
                <w:bCs/>
                <w:color w:val="111111"/>
                <w:sz w:val="19"/>
                <w:szCs w:val="19"/>
              </w:rPr>
              <w:t xml:space="preserve">7</w:t>
            </w:r>
          </w:p>
        </w:tc>
        <w:tc>
          <w:tcPr>
            <w:tcW w:type="dxa" w:w="25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Sends money to family in another island</w:t>
            </w:r>
          </w:p>
        </w:tc>
        <w:tc>
          <w:tcPr>
            <w:tcW w:type="dxa" w:w="318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USDC transferred on-chain. Recipient converts in their local Kin app. Kin earns FX conversion spread.</w:t>
            </w:r>
          </w:p>
        </w:tc>
        <w:tc>
          <w:tcPr>
            <w:tcW w:type="dxa" w:w="318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Circle Payments Network → Kin P2P API</w:t>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Calibri" w:cs="Calibri" w:eastAsia="Calibri" w:hAnsi="Calibri"/>
                <w:b/>
                <w:bCs/>
                <w:color w:val="111111"/>
                <w:sz w:val="19"/>
                <w:szCs w:val="19"/>
              </w:rPr>
              <w:t xml:space="preserve">8</w:t>
            </w:r>
          </w:p>
        </w:tc>
        <w:tc>
          <w:tcPr>
            <w:tcW w:type="dxa" w:w="2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Upgrades to Kin Pro subscription</w:t>
            </w:r>
          </w:p>
        </w:tc>
        <w:tc>
          <w:tcPr>
            <w:tcW w:type="dxa" w:w="31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Monthly charge deducted from USDC balance. Premium features and higher limits unlocked immediately.</w:t>
            </w:r>
          </w:p>
        </w:tc>
        <w:tc>
          <w:tcPr>
            <w:tcW w:type="dxa" w:w="31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Kin Subscription API → Stripe Billing</w:t>
            </w:r>
          </w:p>
        </w:tc>
      </w:tr>
    </w:tbl>
    <w:p>
      <w:pPr>
        <w:spacing w:after="100" w:before="100"/>
      </w:pPr>
      <w:r>
        <w:rPr>
          <w:sz w:val="20"/>
          <w:szCs w:val="20"/>
        </w:rPr>
        <w:t xml:space="preserve"/>
      </w:r>
    </w:p>
    <w:p>
      <w:pPr>
        <w:spacing w:after="80" w:before="260"/>
      </w:pPr>
      <w:r>
        <w:rPr>
          <w:rFonts w:ascii="Calibri" w:cs="Calibri" w:eastAsia="Calibri" w:hAnsi="Calibri"/>
          <w:b/>
          <w:bCs/>
          <w:color w:val="2563EB"/>
          <w:sz w:val="26"/>
          <w:szCs w:val="26"/>
        </w:rPr>
        <w:t xml:space="preserve">5.2  Technical Architecture — Four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680"/>
        <w:gridCol w:w="3120"/>
      </w:tblGrid>
      <w:tr>
        <w:tc>
          <w:tcPr>
            <w:tcW w:type="dxa" w:w="1560"/>
            <w:tcBorders>
              <w:top w:val="single" w:color="CCCCCC" w:sz="1"/>
              <w:left w:val="single" w:color="CCCCCC" w:sz="1"/>
              <w:bottom w:val="single" w:color="CCCCCC" w:sz="1"/>
              <w:right w:val="single" w:color="CCCCCC" w:sz="1"/>
            </w:tcBorders>
            <w:shd w:fill="0D1B4B" w:val="clear"/>
            <w:tcMar>
              <w:top w:type="dxa" w:w="60"/>
              <w:left w:type="dxa" w:w="120"/>
              <w:bottom w:type="dxa" w:w="60"/>
              <w:right w:type="dxa" w:w="120"/>
            </w:tcMar>
            <w:vAlign w:val="center"/>
          </w:tcPr>
          <w:p>
            <w:pPr>
              <w:jc w:val="center"/>
            </w:pPr>
            <w:r>
              <w:rPr>
                <w:rFonts w:ascii="Calibri" w:cs="Calibri" w:eastAsia="Calibri" w:hAnsi="Calibri"/>
                <w:b/>
                <w:bCs/>
                <w:color w:val="FFFFFF"/>
                <w:sz w:val="20"/>
                <w:szCs w:val="20"/>
              </w:rPr>
              <w:t xml:space="preserve">Layer</w:t>
            </w:r>
          </w:p>
        </w:tc>
        <w:tc>
          <w:tcPr>
            <w:tcW w:type="dxa" w:w="4680"/>
            <w:tcBorders>
              <w:top w:val="single" w:color="CCCCCC" w:sz="1"/>
              <w:left w:val="single" w:color="CCCCCC" w:sz="1"/>
              <w:bottom w:val="single" w:color="CCCCCC" w:sz="1"/>
              <w:right w:val="single" w:color="CCCCCC" w:sz="1"/>
            </w:tcBorders>
            <w:shd w:fill="0D1B4B" w:val="clear"/>
            <w:tcMar>
              <w:top w:type="dxa" w:w="60"/>
              <w:left w:type="dxa" w:w="120"/>
              <w:bottom w:type="dxa" w:w="60"/>
              <w:right w:type="dxa" w:w="120"/>
            </w:tcMar>
            <w:vAlign w:val="center"/>
          </w:tcPr>
          <w:p>
            <w:pPr>
              <w:jc w:val="center"/>
            </w:pPr>
            <w:r>
              <w:rPr>
                <w:rFonts w:ascii="Calibri" w:cs="Calibri" w:eastAsia="Calibri" w:hAnsi="Calibri"/>
                <w:b/>
                <w:bCs/>
                <w:color w:val="FFFFFF"/>
                <w:sz w:val="20"/>
                <w:szCs w:val="20"/>
              </w:rPr>
              <w:t xml:space="preserve">Components</w:t>
            </w:r>
          </w:p>
        </w:tc>
        <w:tc>
          <w:tcPr>
            <w:tcW w:type="dxa" w:w="3120"/>
            <w:tcBorders>
              <w:top w:val="single" w:color="CCCCCC" w:sz="1"/>
              <w:left w:val="single" w:color="CCCCCC" w:sz="1"/>
              <w:bottom w:val="single" w:color="CCCCCC" w:sz="1"/>
              <w:right w:val="single" w:color="CCCCCC" w:sz="1"/>
            </w:tcBorders>
            <w:shd w:fill="0D1B4B" w:val="clear"/>
            <w:tcMar>
              <w:top w:type="dxa" w:w="60"/>
              <w:left w:type="dxa" w:w="120"/>
              <w:bottom w:type="dxa" w:w="60"/>
              <w:right w:type="dxa" w:w="120"/>
            </w:tcMar>
            <w:vAlign w:val="center"/>
          </w:tcPr>
          <w:p>
            <w:pPr>
              <w:jc w:val="center"/>
            </w:pPr>
            <w:r>
              <w:rPr>
                <w:rFonts w:ascii="Calibri" w:cs="Calibri" w:eastAsia="Calibri" w:hAnsi="Calibri"/>
                <w:b/>
                <w:bCs/>
                <w:color w:val="FFFFFF"/>
                <w:sz w:val="20"/>
                <w:szCs w:val="20"/>
              </w:rPr>
              <w:t xml:space="preserve">Technology</w:t>
            </w:r>
          </w:p>
        </w:tc>
      </w:tr>
      <w:tr>
        <w:tc>
          <w:tcPr>
            <w:tcW w:type="dxa" w:w="1560"/>
            <w:tcBorders>
              <w:top w:val="single" w:color="CCCCCC" w:sz="1"/>
              <w:left w:val="single" w:color="CCCCCC" w:sz="1"/>
              <w:bottom w:val="single" w:color="CCCCCC" w:sz="1"/>
              <w:right w:val="single" w:color="CCCCCC" w:sz="1"/>
            </w:tcBorders>
            <w:shd w:fill="0D1B4B" w:val="clear"/>
            <w:tcMar>
              <w:top w:type="dxa" w:w="90"/>
              <w:left w:type="dxa" w:w="140"/>
              <w:bottom w:type="dxa" w:w="90"/>
              <w:right w:type="dxa" w:w="140"/>
            </w:tcMar>
            <w:vAlign w:val="center"/>
          </w:tcPr>
          <w:p>
            <w:pPr>
              <w:jc w:val="left"/>
            </w:pPr>
            <w:r>
              <w:rPr>
                <w:rFonts w:ascii="Calibri" w:cs="Calibri" w:eastAsia="Calibri" w:hAnsi="Calibri"/>
                <w:b/>
                <w:bCs/>
                <w:color w:val="FFFFFF"/>
                <w:sz w:val="19"/>
                <w:szCs w:val="19"/>
              </w:rPr>
              <w:t xml:space="preserve">USER LAYER</w:t>
            </w:r>
          </w:p>
        </w:tc>
        <w:tc>
          <w:tcPr>
            <w:tcW w:type="dxa" w:w="4680"/>
            <w:tcBorders>
              <w:top w:val="single" w:color="CCCCCC" w:sz="1"/>
              <w:left w:val="single" w:color="CCCCCC" w:sz="1"/>
              <w:bottom w:val="single" w:color="CCCCCC" w:sz="1"/>
              <w:right w:val="single" w:color="CCCCCC" w:sz="1"/>
            </w:tcBorders>
            <w:shd w:fill="E8EEF9"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Kin iOS and Android app. Onboarding, card management, balance view, P2P transfers, transaction history, subscription management.</w:t>
            </w:r>
          </w:p>
        </w:tc>
        <w:tc>
          <w:tcPr>
            <w:tcW w:type="dxa" w:w="3120"/>
            <w:tcBorders>
              <w:top w:val="single" w:color="CCCCCC" w:sz="1"/>
              <w:left w:val="single" w:color="CCCCCC" w:sz="1"/>
              <w:bottom w:val="single" w:color="CCCCCC" w:sz="1"/>
              <w:right w:val="single" w:color="CCCCCC" w:sz="1"/>
            </w:tcBorders>
            <w:shd w:fill="E8EEF9"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React Native + Expo. Push notifications via Firebase.</w:t>
            </w:r>
          </w:p>
        </w:tc>
      </w:tr>
      <w:tr>
        <w:tc>
          <w:tcPr>
            <w:tcW w:type="dxa" w:w="1560"/>
            <w:tcBorders>
              <w:top w:val="single" w:color="CCCCCC" w:sz="1"/>
              <w:left w:val="single" w:color="CCCCCC" w:sz="1"/>
              <w:bottom w:val="single" w:color="CCCCCC" w:sz="1"/>
              <w:right w:val="single" w:color="CCCCCC" w:sz="1"/>
            </w:tcBorders>
            <w:shd w:fill="2563EB" w:val="clear"/>
            <w:tcMar>
              <w:top w:type="dxa" w:w="90"/>
              <w:left w:type="dxa" w:w="140"/>
              <w:bottom w:type="dxa" w:w="90"/>
              <w:right w:type="dxa" w:w="140"/>
            </w:tcMar>
            <w:vAlign w:val="center"/>
          </w:tcPr>
          <w:p>
            <w:pPr>
              <w:jc w:val="left"/>
            </w:pPr>
            <w:r>
              <w:rPr>
                <w:rFonts w:ascii="Calibri" w:cs="Calibri" w:eastAsia="Calibri" w:hAnsi="Calibri"/>
                <w:b/>
                <w:bCs/>
                <w:color w:val="FFFFFF"/>
                <w:sz w:val="19"/>
                <w:szCs w:val="19"/>
              </w:rPr>
              <w:t xml:space="preserve">API GATEWAY</w:t>
            </w:r>
          </w:p>
        </w:tc>
        <w:tc>
          <w:tcPr>
            <w:tcW w:type="dxa" w:w="468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Kin's own backend API. Orchestrates calls between all third-party systems. Handles authentication, rate limiting, fraud rules, and event logging.</w:t>
            </w:r>
          </w:p>
        </w:tc>
        <w:tc>
          <w:tcPr>
            <w:tcW w:type="dxa" w:w="312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Node.js / Python on AWS or GCP. REST + webhooks.</w:t>
            </w:r>
          </w:p>
        </w:tc>
      </w:tr>
      <w:tr>
        <w:tc>
          <w:tcPr>
            <w:tcW w:type="dxa" w:w="1560"/>
            <w:tcBorders>
              <w:top w:val="single" w:color="CCCCCC" w:sz="1"/>
              <w:left w:val="single" w:color="CCCCCC" w:sz="1"/>
              <w:bottom w:val="single" w:color="CCCCCC" w:sz="1"/>
              <w:right w:val="single" w:color="CCCCCC" w:sz="1"/>
            </w:tcBorders>
            <w:shd w:fill="7C3AED" w:val="clear"/>
            <w:tcMar>
              <w:top w:type="dxa" w:w="90"/>
              <w:left w:type="dxa" w:w="140"/>
              <w:bottom w:type="dxa" w:w="90"/>
              <w:right w:type="dxa" w:w="140"/>
            </w:tcMar>
            <w:vAlign w:val="center"/>
          </w:tcPr>
          <w:p>
            <w:pPr>
              <w:jc w:val="left"/>
            </w:pPr>
            <w:r>
              <w:rPr>
                <w:rFonts w:ascii="Calibri" w:cs="Calibri" w:eastAsia="Calibri" w:hAnsi="Calibri"/>
                <w:b/>
                <w:bCs/>
                <w:color w:val="FFFFFF"/>
                <w:sz w:val="19"/>
                <w:szCs w:val="19"/>
              </w:rPr>
              <w:t xml:space="preserve">FINTECH LAYER</w:t>
            </w:r>
          </w:p>
        </w:tc>
        <w:tc>
          <w:tcPr>
            <w:tcW w:type="dxa" w:w="4680"/>
            <w:tcBorders>
              <w:top w:val="single" w:color="CCCCCC" w:sz="1"/>
              <w:left w:val="single" w:color="CCCCCC" w:sz="1"/>
              <w:bottom w:val="single" w:color="CCCCCC" w:sz="1"/>
              <w:right w:val="single" w:color="CCCCCC" w:sz="1"/>
            </w:tcBorders>
            <w:shd w:fill="E8EEF9"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Rain (card issuance + stablecoin settlement), Circle (USDC on/off ramp + yield), Sumsub (KYC/AML), Stripe (subscriptions).</w:t>
            </w:r>
          </w:p>
        </w:tc>
        <w:tc>
          <w:tcPr>
            <w:tcW w:type="dxa" w:w="3120"/>
            <w:tcBorders>
              <w:top w:val="single" w:color="CCCCCC" w:sz="1"/>
              <w:left w:val="single" w:color="CCCCCC" w:sz="1"/>
              <w:bottom w:val="single" w:color="CCCCCC" w:sz="1"/>
              <w:right w:val="single" w:color="CCCCCC" w:sz="1"/>
            </w:tcBorders>
            <w:shd w:fill="E8EEF9"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REST APIs. Webhooks for real-time event notifications.</w:t>
            </w:r>
          </w:p>
        </w:tc>
      </w:tr>
      <w:tr>
        <w:tc>
          <w:tcPr>
            <w:tcW w:type="dxa" w:w="1560"/>
            <w:tcBorders>
              <w:top w:val="single" w:color="CCCCCC" w:sz="1"/>
              <w:left w:val="single" w:color="CCCCCC" w:sz="1"/>
              <w:bottom w:val="single" w:color="CCCCCC" w:sz="1"/>
              <w:right w:val="single" w:color="CCCCCC" w:sz="1"/>
            </w:tcBorders>
            <w:shd w:fill="111111" w:val="clear"/>
            <w:tcMar>
              <w:top w:type="dxa" w:w="90"/>
              <w:left w:type="dxa" w:w="140"/>
              <w:bottom w:type="dxa" w:w="90"/>
              <w:right w:type="dxa" w:w="140"/>
            </w:tcMar>
            <w:vAlign w:val="center"/>
          </w:tcPr>
          <w:p>
            <w:pPr>
              <w:jc w:val="left"/>
            </w:pPr>
            <w:r>
              <w:rPr>
                <w:rFonts w:ascii="Calibri" w:cs="Calibri" w:eastAsia="Calibri" w:hAnsi="Calibri"/>
                <w:b/>
                <w:bCs/>
                <w:color w:val="FFFFFF"/>
                <w:sz w:val="19"/>
                <w:szCs w:val="19"/>
              </w:rPr>
              <w:t xml:space="preserve">NETWORK LAYER</w:t>
            </w:r>
          </w:p>
        </w:tc>
        <w:tc>
          <w:tcPr>
            <w:tcW w:type="dxa" w:w="468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Visa card network (authorisation and clearing). Ethereum/Solana blockchain (USDC on-chain settlement). Bank rails (ACH, SWIFT for fiat on-ramp).</w:t>
            </w:r>
          </w:p>
        </w:tc>
        <w:tc>
          <w:tcPr>
            <w:tcW w:type="dxa" w:w="312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Visa Authorisation Network. EVM blockchain. SWIFT/ACH.</w:t>
            </w:r>
          </w:p>
        </w:tc>
      </w:tr>
    </w:tbl>
    <w:p>
      <w:pPr>
        <w:spacing w:after="100" w:before="100"/>
      </w:pPr>
      <w:r>
        <w:rPr>
          <w:sz w:val="20"/>
          <w:szCs w:val="20"/>
        </w:rPr>
        <w:t xml:space="preserve"/>
      </w:r>
    </w:p>
    <w:p>
      <w:pPr>
        <w:spacing w:after="80" w:before="260"/>
      </w:pPr>
      <w:r>
        <w:rPr>
          <w:rFonts w:ascii="Calibri" w:cs="Calibri" w:eastAsia="Calibri" w:hAnsi="Calibri"/>
          <w:b/>
          <w:bCs/>
          <w:color w:val="2563EB"/>
          <w:sz w:val="26"/>
          <w:szCs w:val="26"/>
        </w:rPr>
        <w:t xml:space="preserve">5.3  Transaction Flow: Card Spend</w:t>
      </w:r>
    </w:p>
    <w:p>
      <w:pPr>
        <w:pStyle w:val="ListParagraph"/>
        <w:numPr>
          <w:ilvl w:val="0"/>
          <w:numId w:val="3"/>
        </w:numPr>
        <w:spacing w:after="50" w:before="50"/>
      </w:pPr>
      <w:r>
        <w:rPr>
          <w:rFonts w:ascii="Calibri" w:cs="Calibri" w:eastAsia="Calibri" w:hAnsi="Calibri"/>
          <w:sz w:val="20"/>
          <w:szCs w:val="20"/>
        </w:rPr>
        <w:t xml:space="preserve">User taps physical or virtual Kin Visa card at merchant POS or online checkout</w:t>
      </w:r>
    </w:p>
    <w:p>
      <w:pPr>
        <w:pStyle w:val="ListParagraph"/>
        <w:numPr>
          <w:ilvl w:val="0"/>
          <w:numId w:val="3"/>
        </w:numPr>
        <w:spacing w:after="50" w:before="50"/>
      </w:pPr>
      <w:r>
        <w:rPr>
          <w:rFonts w:ascii="Calibri" w:cs="Calibri" w:eastAsia="Calibri" w:hAnsi="Calibri"/>
          <w:sz w:val="20"/>
          <w:szCs w:val="20"/>
        </w:rPr>
        <w:t xml:space="preserve">Merchant POS sends authorisation request to the Visa network</w:t>
      </w:r>
    </w:p>
    <w:p>
      <w:pPr>
        <w:pStyle w:val="ListParagraph"/>
        <w:numPr>
          <w:ilvl w:val="0"/>
          <w:numId w:val="3"/>
        </w:numPr>
        <w:spacing w:after="50" w:before="50"/>
      </w:pPr>
      <w:r>
        <w:rPr>
          <w:rFonts w:ascii="Calibri" w:cs="Calibri" w:eastAsia="Calibri" w:hAnsi="Calibri"/>
          <w:sz w:val="20"/>
          <w:szCs w:val="20"/>
        </w:rPr>
        <w:t xml:space="preserve">Visa routes request to Rain (the issuer processor) in real time — under 200ms</w:t>
      </w:r>
    </w:p>
    <w:p>
      <w:pPr>
        <w:pStyle w:val="ListParagraph"/>
        <w:numPr>
          <w:ilvl w:val="0"/>
          <w:numId w:val="3"/>
        </w:numPr>
        <w:spacing w:after="50" w:before="50"/>
      </w:pPr>
      <w:r>
        <w:rPr>
          <w:rFonts w:ascii="Calibri" w:cs="Calibri" w:eastAsia="Calibri" w:hAnsi="Calibri"/>
          <w:sz w:val="20"/>
          <w:szCs w:val="20"/>
        </w:rPr>
        <w:t xml:space="preserve">Rain checks user's USDC balance in the Kin account ledger</w:t>
      </w:r>
    </w:p>
    <w:p>
      <w:pPr>
        <w:pStyle w:val="ListParagraph"/>
        <w:numPr>
          <w:ilvl w:val="0"/>
          <w:numId w:val="3"/>
        </w:numPr>
        <w:spacing w:after="50" w:before="50"/>
      </w:pPr>
      <w:r>
        <w:rPr>
          <w:rFonts w:ascii="Calibri" w:cs="Calibri" w:eastAsia="Calibri" w:hAnsi="Calibri"/>
          <w:sz w:val="20"/>
          <w:szCs w:val="20"/>
        </w:rPr>
        <w:t xml:space="preserve">If balance is sufficient: Rain approves and converts the USDC amount to local fiat at current rate</w:t>
      </w:r>
    </w:p>
    <w:p>
      <w:pPr>
        <w:pStyle w:val="ListParagraph"/>
        <w:numPr>
          <w:ilvl w:val="0"/>
          <w:numId w:val="3"/>
        </w:numPr>
        <w:spacing w:after="50" w:before="50"/>
      </w:pPr>
      <w:r>
        <w:rPr>
          <w:rFonts w:ascii="Calibri" w:cs="Calibri" w:eastAsia="Calibri" w:hAnsi="Calibri"/>
          <w:sz w:val="20"/>
          <w:szCs w:val="20"/>
        </w:rPr>
        <w:t xml:space="preserve">Merchant receives payment in local fiat. User sees balance deducted in Kin app instantly via webhook</w:t>
      </w:r>
    </w:p>
    <w:p>
      <w:pPr>
        <w:pStyle w:val="ListParagraph"/>
        <w:numPr>
          <w:ilvl w:val="0"/>
          <w:numId w:val="3"/>
        </w:numPr>
        <w:spacing w:after="50" w:before="50"/>
      </w:pPr>
      <w:r>
        <w:rPr>
          <w:rFonts w:ascii="Calibri" w:cs="Calibri" w:eastAsia="Calibri" w:hAnsi="Calibri"/>
          <w:sz w:val="20"/>
          <w:szCs w:val="20"/>
        </w:rPr>
        <w:t xml:space="preserve">Kin receives interchange fee (typically 0.9–1.2% of transaction value) from the acquiring bank via Visa settlement</w:t>
      </w:r>
    </w:p>
    <w:p>
      <w:pPr>
        <w:pStyle w:val="ListParagraph"/>
        <w:numPr>
          <w:ilvl w:val="0"/>
          <w:numId w:val="3"/>
        </w:numPr>
        <w:spacing w:after="50" w:before="50"/>
      </w:pPr>
      <w:r>
        <w:rPr>
          <w:rFonts w:ascii="Calibri" w:cs="Calibri" w:eastAsia="Calibri" w:hAnsi="Calibri"/>
          <w:sz w:val="20"/>
          <w:szCs w:val="20"/>
        </w:rPr>
        <w:t xml:space="preserve">If cross-currency transaction: Kin applies an FX conversion rate, retaining a 0.5–1.2% margin</w:t>
      </w:r>
    </w:p>
    <w:p>
      <w:pPr>
        <w:pStyle w:val="ListParagraph"/>
        <w:numPr>
          <w:ilvl w:val="0"/>
          <w:numId w:val="3"/>
        </w:numPr>
        <w:spacing w:after="50" w:before="50"/>
      </w:pPr>
      <w:r>
        <w:rPr>
          <w:rFonts w:ascii="Calibri" w:cs="Calibri" w:eastAsia="Calibri" w:hAnsi="Calibri"/>
          <w:sz w:val="20"/>
          <w:szCs w:val="20"/>
        </w:rPr>
        <w:t xml:space="preserve">Daily settlement: Rain settles net positions with Visa using USDC on-chain — eliminating 2–3 day fiat settlement delays</w:t>
      </w:r>
    </w:p>
    <w:p>
      <w:pPr>
        <w:spacing w:after="100" w:before="100"/>
      </w:pPr>
      <w:r>
        <w:rPr>
          <w:sz w:val="20"/>
          <w:szCs w:val="20"/>
        </w:rPr>
        <w:t xml:space="preserve"/>
      </w:r>
    </w:p>
    <w:p>
      <w:pPr>
        <w:spacing w:after="80" w:before="260"/>
      </w:pPr>
      <w:r>
        <w:rPr>
          <w:rFonts w:ascii="Calibri" w:cs="Calibri" w:eastAsia="Calibri" w:hAnsi="Calibri"/>
          <w:b/>
          <w:bCs/>
          <w:color w:val="2563EB"/>
          <w:sz w:val="26"/>
          <w:szCs w:val="26"/>
        </w:rPr>
        <w:t xml:space="preserve">5.4  Data &amp; Security</w:t>
      </w:r>
    </w:p>
    <w:p>
      <w:pPr>
        <w:pStyle w:val="ListParagraph"/>
        <w:numPr>
          <w:ilvl w:val="0"/>
          <w:numId w:val="2"/>
        </w:numPr>
        <w:spacing w:after="44" w:before="44"/>
      </w:pPr>
      <w:r>
        <w:rPr>
          <w:rFonts w:ascii="Calibri" w:cs="Calibri" w:eastAsia="Calibri" w:hAnsi="Calibri"/>
          <w:sz w:val="20"/>
          <w:szCs w:val="20"/>
        </w:rPr>
        <w:t xml:space="preserve">All card data handled by Rain (Visa PCI-DSS Level 1 certified) — Kin never stores raw card numbers, significantly reducing PCI compliance scope</w:t>
      </w:r>
    </w:p>
    <w:p>
      <w:pPr>
        <w:pStyle w:val="ListParagraph"/>
        <w:numPr>
          <w:ilvl w:val="0"/>
          <w:numId w:val="2"/>
        </w:numPr>
        <w:spacing w:after="44" w:before="44"/>
      </w:pPr>
      <w:r>
        <w:rPr>
          <w:rFonts w:ascii="Calibri" w:cs="Calibri" w:eastAsia="Calibri" w:hAnsi="Calibri"/>
          <w:sz w:val="20"/>
          <w:szCs w:val="20"/>
        </w:rPr>
        <w:t xml:space="preserve">KYC data stored in encrypted vaults by Sumsub. Kin receives only approval signals and risk scores — never raw identity documents</w:t>
      </w:r>
    </w:p>
    <w:p>
      <w:pPr>
        <w:pStyle w:val="ListParagraph"/>
        <w:numPr>
          <w:ilvl w:val="0"/>
          <w:numId w:val="2"/>
        </w:numPr>
        <w:spacing w:after="44" w:before="44"/>
      </w:pPr>
      <w:r>
        <w:rPr>
          <w:rFonts w:ascii="Calibri" w:cs="Calibri" w:eastAsia="Calibri" w:hAnsi="Calibri"/>
          <w:sz w:val="20"/>
          <w:szCs w:val="20"/>
        </w:rPr>
        <w:t xml:space="preserve">USDC balances custodied via Circle or Zero Hash — both regulated, insured financial institutions</w:t>
      </w:r>
    </w:p>
    <w:p>
      <w:pPr>
        <w:pStyle w:val="ListParagraph"/>
        <w:numPr>
          <w:ilvl w:val="0"/>
          <w:numId w:val="2"/>
        </w:numPr>
        <w:spacing w:after="44" w:before="44"/>
      </w:pPr>
      <w:r>
        <w:rPr>
          <w:rFonts w:ascii="Calibri" w:cs="Calibri" w:eastAsia="Calibri" w:hAnsi="Calibri"/>
          <w:sz w:val="20"/>
          <w:szCs w:val="20"/>
        </w:rPr>
        <w:t xml:space="preserve">End-to-end TLS encryption on all API calls. JWT authentication on Kin's API gateway</w:t>
      </w:r>
    </w:p>
    <w:p>
      <w:pPr>
        <w:pStyle w:val="ListParagraph"/>
        <w:numPr>
          <w:ilvl w:val="0"/>
          <w:numId w:val="2"/>
        </w:numPr>
        <w:spacing w:after="44" w:before="44"/>
      </w:pPr>
      <w:r>
        <w:rPr>
          <w:rFonts w:ascii="Calibri" w:cs="Calibri" w:eastAsia="Calibri" w:hAnsi="Calibri"/>
          <w:sz w:val="20"/>
          <w:szCs w:val="20"/>
        </w:rPr>
        <w:t xml:space="preserve">Biometric login (Face ID and fingerprint) required for all high-value transactions</w:t>
      </w:r>
    </w:p>
    <w:p>
      <w:pPr>
        <w:pStyle w:val="ListParagraph"/>
        <w:numPr>
          <w:ilvl w:val="0"/>
          <w:numId w:val="2"/>
        </w:numPr>
        <w:spacing w:after="44" w:before="44"/>
      </w:pPr>
      <w:r>
        <w:rPr>
          <w:rFonts w:ascii="Calibri" w:cs="Calibri" w:eastAsia="Calibri" w:hAnsi="Calibri"/>
          <w:sz w:val="20"/>
          <w:szCs w:val="20"/>
        </w:rPr>
        <w:t xml:space="preserve">Real-time fraud monitoring via Rain's built-in transaction rules engine with configurable limits</w:t>
      </w:r>
    </w:p>
    <w:p>
      <w:r>
        <w:br w:type="page"/>
      </w:r>
    </w:p>
    <w:p>
      <w:pPr>
        <w:pBdr>
          <w:bottom w:val="single" w:color="C9A84C" w:sz="8" w:space="4"/>
        </w:pBdr>
        <w:spacing w:after="160" w:before="400"/>
      </w:pPr>
      <w:r>
        <w:rPr>
          <w:rFonts w:ascii="Calibri" w:cs="Calibri" w:eastAsia="Calibri" w:hAnsi="Calibri"/>
          <w:b/>
          <w:bCs/>
          <w:color w:val="0D1B4B"/>
          <w:sz w:val="36"/>
          <w:szCs w:val="36"/>
        </w:rPr>
        <w:t xml:space="preserve">6. Financial Model: Costs vs Revenue vs Profit</w:t>
      </w:r>
    </w:p>
    <w:p>
      <w:pPr>
        <w:spacing w:after="100" w:before="100"/>
      </w:pPr>
      <w:r>
        <w:rPr>
          <w:sz w:val="20"/>
          <w:szCs w:val="20"/>
        </w:rPr>
        <w:t xml:space="preserve"/>
      </w:r>
    </w:p>
    <w:p>
      <w:pPr>
        <w:spacing w:after="80" w:before="260"/>
      </w:pPr>
      <w:r>
        <w:rPr>
          <w:rFonts w:ascii="Calibri" w:cs="Calibri" w:eastAsia="Calibri" w:hAnsi="Calibri"/>
          <w:b/>
          <w:bCs/>
          <w:color w:val="2563EB"/>
          <w:sz w:val="26"/>
          <w:szCs w:val="26"/>
        </w:rPr>
        <w:t xml:space="preserve">6.1  Year 1 Startup Costs — Stablecoin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680"/>
        <w:gridCol w:w="1680"/>
        <w:gridCol w:w="1800"/>
      </w:tblGrid>
      <w:tr>
        <w:tc>
          <w:tcPr>
            <w:tcW w:type="dxa" w:w="4200"/>
            <w:tcBorders>
              <w:top w:val="single" w:color="CCCCCC" w:sz="1"/>
              <w:left w:val="single" w:color="CCCCCC" w:sz="1"/>
              <w:bottom w:val="single" w:color="CCCCCC" w:sz="1"/>
              <w:right w:val="single" w:color="CCCCCC" w:sz="1"/>
            </w:tcBorders>
            <w:shd w:fill="0D1B4B" w:val="clear"/>
            <w:tcMar>
              <w:top w:type="dxa" w:w="60"/>
              <w:left w:type="dxa" w:w="120"/>
              <w:bottom w:type="dxa" w:w="60"/>
              <w:right w:type="dxa" w:w="120"/>
            </w:tcMar>
            <w:vAlign w:val="center"/>
          </w:tcPr>
          <w:p>
            <w:pPr>
              <w:jc w:val="center"/>
            </w:pPr>
            <w:r>
              <w:rPr>
                <w:rFonts w:ascii="Calibri" w:cs="Calibri" w:eastAsia="Calibri" w:hAnsi="Calibri"/>
                <w:b/>
                <w:bCs/>
                <w:color w:val="FFFFFF"/>
                <w:sz w:val="20"/>
                <w:szCs w:val="20"/>
              </w:rPr>
              <w:t xml:space="preserve">Cost Category</w:t>
            </w:r>
          </w:p>
        </w:tc>
        <w:tc>
          <w:tcPr>
            <w:tcW w:type="dxa" w:w="1680"/>
            <w:tcBorders>
              <w:top w:val="single" w:color="CCCCCC" w:sz="1"/>
              <w:left w:val="single" w:color="CCCCCC" w:sz="1"/>
              <w:bottom w:val="single" w:color="CCCCCC" w:sz="1"/>
              <w:right w:val="single" w:color="CCCCCC" w:sz="1"/>
            </w:tcBorders>
            <w:shd w:fill="0D1B4B" w:val="clear"/>
            <w:tcMar>
              <w:top w:type="dxa" w:w="60"/>
              <w:left w:type="dxa" w:w="120"/>
              <w:bottom w:type="dxa" w:w="60"/>
              <w:right w:type="dxa" w:w="120"/>
            </w:tcMar>
            <w:vAlign w:val="center"/>
          </w:tcPr>
          <w:p>
            <w:pPr>
              <w:jc w:val="center"/>
            </w:pPr>
            <w:r>
              <w:rPr>
                <w:rFonts w:ascii="Calibri" w:cs="Calibri" w:eastAsia="Calibri" w:hAnsi="Calibri"/>
                <w:b/>
                <w:bCs/>
                <w:color w:val="FFFFFF"/>
                <w:sz w:val="20"/>
                <w:szCs w:val="20"/>
              </w:rPr>
              <w:t xml:space="preserve">Low</w:t>
            </w:r>
          </w:p>
        </w:tc>
        <w:tc>
          <w:tcPr>
            <w:tcW w:type="dxa" w:w="1680"/>
            <w:tcBorders>
              <w:top w:val="single" w:color="CCCCCC" w:sz="1"/>
              <w:left w:val="single" w:color="CCCCCC" w:sz="1"/>
              <w:bottom w:val="single" w:color="CCCCCC" w:sz="1"/>
              <w:right w:val="single" w:color="CCCCCC" w:sz="1"/>
            </w:tcBorders>
            <w:shd w:fill="0D1B4B" w:val="clear"/>
            <w:tcMar>
              <w:top w:type="dxa" w:w="60"/>
              <w:left w:type="dxa" w:w="120"/>
              <w:bottom w:type="dxa" w:w="60"/>
              <w:right w:type="dxa" w:w="120"/>
            </w:tcMar>
            <w:vAlign w:val="center"/>
          </w:tcPr>
          <w:p>
            <w:pPr>
              <w:jc w:val="center"/>
            </w:pPr>
            <w:r>
              <w:rPr>
                <w:rFonts w:ascii="Calibri" w:cs="Calibri" w:eastAsia="Calibri" w:hAnsi="Calibri"/>
                <w:b/>
                <w:bCs/>
                <w:color w:val="FFFFFF"/>
                <w:sz w:val="20"/>
                <w:szCs w:val="20"/>
              </w:rPr>
              <w:t xml:space="preserve">High</w:t>
            </w:r>
          </w:p>
        </w:tc>
        <w:tc>
          <w:tcPr>
            <w:tcW w:type="dxa" w:w="1800"/>
            <w:tcBorders>
              <w:top w:val="single" w:color="CCCCCC" w:sz="1"/>
              <w:left w:val="single" w:color="CCCCCC" w:sz="1"/>
              <w:bottom w:val="single" w:color="CCCCCC" w:sz="1"/>
              <w:right w:val="single" w:color="CCCCCC" w:sz="1"/>
            </w:tcBorders>
            <w:shd w:fill="0D1B4B" w:val="clear"/>
            <w:tcMar>
              <w:top w:type="dxa" w:w="60"/>
              <w:left w:type="dxa" w:w="120"/>
              <w:bottom w:type="dxa" w:w="60"/>
              <w:right w:type="dxa" w:w="120"/>
            </w:tcMar>
            <w:vAlign w:val="center"/>
          </w:tcPr>
          <w:p>
            <w:pPr>
              <w:jc w:val="center"/>
            </w:pPr>
            <w:r>
              <w:rPr>
                <w:rFonts w:ascii="Calibri" w:cs="Calibri" w:eastAsia="Calibri" w:hAnsi="Calibri"/>
                <w:b/>
                <w:bCs/>
                <w:color w:val="FFFFFF"/>
                <w:sz w:val="20"/>
                <w:szCs w:val="20"/>
              </w:rPr>
              <w:t xml:space="preserve">Type</w:t>
            </w:r>
          </w:p>
        </w:tc>
      </w:tr>
      <w:tr>
        <w:tc>
          <w:tcPr>
            <w:tcW w:type="dxa" w:w="4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Rain API platform setup and onboarding</w:t>
            </w:r>
          </w:p>
        </w:tc>
        <w:tc>
          <w:tcPr>
            <w:tcW w:type="dxa" w:w="168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$10,000</w:t>
            </w:r>
          </w:p>
        </w:tc>
        <w:tc>
          <w:tcPr>
            <w:tcW w:type="dxa" w:w="168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$40,000</w:t>
            </w:r>
          </w:p>
        </w:tc>
        <w:tc>
          <w:tcPr>
            <w:tcW w:type="dxa" w:w="1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One-time</w:t>
            </w:r>
          </w:p>
        </w:tc>
      </w:tr>
      <w:tr>
        <w:tc>
          <w:tcPr>
            <w:tcW w:type="dxa" w:w="4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App development (iOS and Android)</w:t>
            </w:r>
          </w:p>
        </w:tc>
        <w:tc>
          <w:tcPr>
            <w:tcW w:type="dxa" w:w="1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$30,000</w:t>
            </w:r>
          </w:p>
        </w:tc>
        <w:tc>
          <w:tcPr>
            <w:tcW w:type="dxa" w:w="1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$80,000</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One-time</w:t>
            </w:r>
          </w:p>
        </w:tc>
      </w:tr>
      <w:tr>
        <w:tc>
          <w:tcPr>
            <w:tcW w:type="dxa" w:w="4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KYC / AML platform (Sumsub) setup</w:t>
            </w:r>
          </w:p>
        </w:tc>
        <w:tc>
          <w:tcPr>
            <w:tcW w:type="dxa" w:w="168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$10,000</w:t>
            </w:r>
          </w:p>
        </w:tc>
        <w:tc>
          <w:tcPr>
            <w:tcW w:type="dxa" w:w="168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$20,000</w:t>
            </w:r>
          </w:p>
        </w:tc>
        <w:tc>
          <w:tcPr>
            <w:tcW w:type="dxa" w:w="1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Setup + Year 1</w:t>
            </w:r>
          </w:p>
        </w:tc>
      </w:tr>
      <w:tr>
        <w:tc>
          <w:tcPr>
            <w:tcW w:type="dxa" w:w="4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Legal and BOJ regulatory compliance</w:t>
            </w:r>
          </w:p>
        </w:tc>
        <w:tc>
          <w:tcPr>
            <w:tcW w:type="dxa" w:w="1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$20,000</w:t>
            </w:r>
          </w:p>
        </w:tc>
        <w:tc>
          <w:tcPr>
            <w:tcW w:type="dxa" w:w="1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$50,000</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Regulatory</w:t>
            </w:r>
          </w:p>
        </w:tc>
      </w:tr>
      <w:tr>
        <w:tc>
          <w:tcPr>
            <w:tcW w:type="dxa" w:w="4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First card run — 5,000 cards delivered</w:t>
            </w:r>
          </w:p>
        </w:tc>
        <w:tc>
          <w:tcPr>
            <w:tcW w:type="dxa" w:w="168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$25,000</w:t>
            </w:r>
          </w:p>
        </w:tc>
        <w:tc>
          <w:tcPr>
            <w:tcW w:type="dxa" w:w="168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$50,000</w:t>
            </w:r>
          </w:p>
        </w:tc>
        <w:tc>
          <w:tcPr>
            <w:tcW w:type="dxa" w:w="1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$5–$10 per card</w:t>
            </w:r>
          </w:p>
        </w:tc>
      </w:tr>
      <w:tr>
        <w:tc>
          <w:tcPr>
            <w:tcW w:type="dxa" w:w="4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Marketing and user acquisition</w:t>
            </w:r>
          </w:p>
        </w:tc>
        <w:tc>
          <w:tcPr>
            <w:tcW w:type="dxa" w:w="1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$20,000</w:t>
            </w:r>
          </w:p>
        </w:tc>
        <w:tc>
          <w:tcPr>
            <w:tcW w:type="dxa" w:w="1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$40,000</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Launch campaign</w:t>
            </w:r>
          </w:p>
        </w:tc>
      </w:tr>
      <w:tr>
        <w:tc>
          <w:tcPr>
            <w:tcW w:type="dxa" w:w="4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Operational reserve (6 months)</w:t>
            </w:r>
          </w:p>
        </w:tc>
        <w:tc>
          <w:tcPr>
            <w:tcW w:type="dxa" w:w="168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$30,000</w:t>
            </w:r>
          </w:p>
        </w:tc>
        <w:tc>
          <w:tcPr>
            <w:tcW w:type="dxa" w:w="168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$60,000</w:t>
            </w:r>
          </w:p>
        </w:tc>
        <w:tc>
          <w:tcPr>
            <w:tcW w:type="dxa" w:w="1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Working capital</w:t>
            </w:r>
          </w:p>
        </w:tc>
      </w:tr>
      <w:tr>
        <w:tc>
          <w:tcPr>
            <w:tcW w:type="dxa" w:w="4200"/>
            <w:tcBorders>
              <w:top w:val="single" w:color="CCCCCC" w:sz="1"/>
              <w:left w:val="single" w:color="CCCCCC" w:sz="1"/>
              <w:bottom w:val="single" w:color="CCCCCC" w:sz="1"/>
              <w:right w:val="single" w:color="CCCCCC" w:sz="1"/>
            </w:tcBorders>
            <w:shd w:fill="0D1B4B" w:val="clear"/>
            <w:tcMar>
              <w:top w:type="dxa" w:w="90"/>
              <w:left w:type="dxa" w:w="140"/>
              <w:bottom w:type="dxa" w:w="90"/>
              <w:right w:type="dxa" w:w="140"/>
            </w:tcMar>
            <w:vAlign w:val="center"/>
          </w:tcPr>
          <w:p>
            <w:pPr>
              <w:jc w:val="left"/>
            </w:pPr>
            <w:r>
              <w:rPr>
                <w:rFonts w:ascii="Calibri" w:cs="Calibri" w:eastAsia="Calibri" w:hAnsi="Calibri"/>
                <w:b/>
                <w:bCs/>
                <w:color w:val="FFFFFF"/>
                <w:sz w:val="19"/>
                <w:szCs w:val="19"/>
              </w:rPr>
              <w:t xml:space="preserve">TOTAL YEAR 1</w:t>
            </w:r>
          </w:p>
        </w:tc>
        <w:tc>
          <w:tcPr>
            <w:tcW w:type="dxa" w:w="1680"/>
            <w:tcBorders>
              <w:top w:val="single" w:color="CCCCCC" w:sz="1"/>
              <w:left w:val="single" w:color="CCCCCC" w:sz="1"/>
              <w:bottom w:val="single" w:color="CCCCCC" w:sz="1"/>
              <w:right w:val="single" w:color="CCCCCC" w:sz="1"/>
            </w:tcBorders>
            <w:shd w:fill="0D1B4B" w:val="clear"/>
            <w:tcMar>
              <w:top w:type="dxa" w:w="90"/>
              <w:left w:type="dxa" w:w="140"/>
              <w:bottom w:type="dxa" w:w="90"/>
              <w:right w:type="dxa" w:w="140"/>
            </w:tcMar>
            <w:vAlign w:val="center"/>
          </w:tcPr>
          <w:p>
            <w:pPr>
              <w:jc w:val="left"/>
            </w:pPr>
            <w:r>
              <w:rPr>
                <w:rFonts w:ascii="Calibri" w:cs="Calibri" w:eastAsia="Calibri" w:hAnsi="Calibri"/>
                <w:b/>
                <w:bCs/>
                <w:color w:val="FFFFFF"/>
                <w:sz w:val="19"/>
                <w:szCs w:val="19"/>
              </w:rPr>
              <w:t xml:space="preserve">$145,000</w:t>
            </w:r>
          </w:p>
        </w:tc>
        <w:tc>
          <w:tcPr>
            <w:tcW w:type="dxa" w:w="1680"/>
            <w:tcBorders>
              <w:top w:val="single" w:color="CCCCCC" w:sz="1"/>
              <w:left w:val="single" w:color="CCCCCC" w:sz="1"/>
              <w:bottom w:val="single" w:color="CCCCCC" w:sz="1"/>
              <w:right w:val="single" w:color="CCCCCC" w:sz="1"/>
            </w:tcBorders>
            <w:shd w:fill="0D1B4B" w:val="clear"/>
            <w:tcMar>
              <w:top w:type="dxa" w:w="90"/>
              <w:left w:type="dxa" w:w="140"/>
              <w:bottom w:type="dxa" w:w="90"/>
              <w:right w:type="dxa" w:w="140"/>
            </w:tcMar>
            <w:vAlign w:val="center"/>
          </w:tcPr>
          <w:p>
            <w:pPr>
              <w:jc w:val="left"/>
            </w:pPr>
            <w:r>
              <w:rPr>
                <w:rFonts w:ascii="Calibri" w:cs="Calibri" w:eastAsia="Calibri" w:hAnsi="Calibri"/>
                <w:b/>
                <w:bCs/>
                <w:color w:val="FFFFFF"/>
                <w:sz w:val="19"/>
                <w:szCs w:val="19"/>
              </w:rPr>
              <w:t xml:space="preserve">$340,000</w:t>
            </w:r>
          </w:p>
        </w:tc>
        <w:tc>
          <w:tcPr>
            <w:tcW w:type="dxa" w:w="1800"/>
            <w:tcBorders>
              <w:top w:val="single" w:color="CCCCCC" w:sz="1"/>
              <w:left w:val="single" w:color="CCCCCC" w:sz="1"/>
              <w:bottom w:val="single" w:color="CCCCCC" w:sz="1"/>
              <w:right w:val="single" w:color="CCCCCC" w:sz="1"/>
            </w:tcBorders>
            <w:shd w:fill="0D1B4B" w:val="clear"/>
            <w:tcMar>
              <w:top w:type="dxa" w:w="90"/>
              <w:left w:type="dxa" w:w="140"/>
              <w:bottom w:type="dxa" w:w="90"/>
              <w:right w:type="dxa" w:w="140"/>
            </w:tcMar>
            <w:vAlign w:val="center"/>
          </w:tcPr>
          <w:p>
            <w:pPr>
              <w:jc w:val="left"/>
            </w:pPr>
            <w:r>
              <w:rPr>
                <w:rFonts w:ascii="Calibri" w:cs="Calibri" w:eastAsia="Calibri" w:hAnsi="Calibri"/>
                <w:b/>
                <w:bCs/>
                <w:color w:val="C9A84C"/>
                <w:sz w:val="19"/>
                <w:szCs w:val="19"/>
              </w:rPr>
              <w:t xml:space="preserve">~$240k mid</w:t>
            </w:r>
          </w:p>
        </w:tc>
      </w:tr>
    </w:tbl>
    <w:p>
      <w:pPr>
        <w:spacing w:after="100" w:before="100"/>
      </w:pPr>
      <w:r>
        <w:rPr>
          <w:sz w:val="20"/>
          <w:szCs w:val="20"/>
        </w:rPr>
        <w:t xml:space="preserve"/>
      </w:r>
    </w:p>
    <w:p>
      <w:pPr>
        <w:spacing w:after="80" w:before="260"/>
      </w:pPr>
      <w:r>
        <w:rPr>
          <w:rFonts w:ascii="Calibri" w:cs="Calibri" w:eastAsia="Calibri" w:hAnsi="Calibri"/>
          <w:b/>
          <w:bCs/>
          <w:color w:val="2563EB"/>
          <w:sz w:val="26"/>
          <w:szCs w:val="26"/>
        </w:rPr>
        <w:t xml:space="preserve">6.2  Projected Annual Revenue — Stablecoin Route (10,000 active users at $500/month spend)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560"/>
        <w:gridCol w:w="2100"/>
        <w:gridCol w:w="2100"/>
      </w:tblGrid>
      <w:tr>
        <w:tc>
          <w:tcPr>
            <w:tcW w:type="dxa" w:w="3600"/>
            <w:tcBorders>
              <w:top w:val="single" w:color="CCCCCC" w:sz="1"/>
              <w:left w:val="single" w:color="CCCCCC" w:sz="1"/>
              <w:bottom w:val="single" w:color="CCCCCC" w:sz="1"/>
              <w:right w:val="single" w:color="CCCCCC" w:sz="1"/>
            </w:tcBorders>
            <w:shd w:fill="0D1B4B" w:val="clear"/>
            <w:tcMar>
              <w:top w:type="dxa" w:w="60"/>
              <w:left w:type="dxa" w:w="120"/>
              <w:bottom w:type="dxa" w:w="60"/>
              <w:right w:type="dxa" w:w="120"/>
            </w:tcMar>
            <w:vAlign w:val="center"/>
          </w:tcPr>
          <w:p>
            <w:pPr>
              <w:jc w:val="center"/>
            </w:pPr>
            <w:r>
              <w:rPr>
                <w:rFonts w:ascii="Calibri" w:cs="Calibri" w:eastAsia="Calibri" w:hAnsi="Calibri"/>
                <w:b/>
                <w:bCs/>
                <w:color w:val="FFFFFF"/>
                <w:sz w:val="20"/>
                <w:szCs w:val="20"/>
              </w:rPr>
              <w:t xml:space="preserve">Revenue Stream</w:t>
            </w:r>
          </w:p>
        </w:tc>
        <w:tc>
          <w:tcPr>
            <w:tcW w:type="dxa" w:w="1560"/>
            <w:tcBorders>
              <w:top w:val="single" w:color="CCCCCC" w:sz="1"/>
              <w:left w:val="single" w:color="CCCCCC" w:sz="1"/>
              <w:bottom w:val="single" w:color="CCCCCC" w:sz="1"/>
              <w:right w:val="single" w:color="CCCCCC" w:sz="1"/>
            </w:tcBorders>
            <w:shd w:fill="0D1B4B" w:val="clear"/>
            <w:tcMar>
              <w:top w:type="dxa" w:w="60"/>
              <w:left w:type="dxa" w:w="120"/>
              <w:bottom w:type="dxa" w:w="60"/>
              <w:right w:type="dxa" w:w="120"/>
            </w:tcMar>
            <w:vAlign w:val="center"/>
          </w:tcPr>
          <w:p>
            <w:pPr>
              <w:jc w:val="center"/>
            </w:pPr>
            <w:r>
              <w:rPr>
                <w:rFonts w:ascii="Calibri" w:cs="Calibri" w:eastAsia="Calibri" w:hAnsi="Calibri"/>
                <w:b/>
                <w:bCs/>
                <w:color w:val="FFFFFF"/>
                <w:sz w:val="20"/>
                <w:szCs w:val="20"/>
              </w:rPr>
              <w:t xml:space="preserve">Rate</w:t>
            </w:r>
          </w:p>
        </w:tc>
        <w:tc>
          <w:tcPr>
            <w:tcW w:type="dxa" w:w="2100"/>
            <w:tcBorders>
              <w:top w:val="single" w:color="CCCCCC" w:sz="1"/>
              <w:left w:val="single" w:color="CCCCCC" w:sz="1"/>
              <w:bottom w:val="single" w:color="CCCCCC" w:sz="1"/>
              <w:right w:val="single" w:color="CCCCCC" w:sz="1"/>
            </w:tcBorders>
            <w:shd w:fill="0D1B4B" w:val="clear"/>
            <w:tcMar>
              <w:top w:type="dxa" w:w="60"/>
              <w:left w:type="dxa" w:w="120"/>
              <w:bottom w:type="dxa" w:w="60"/>
              <w:right w:type="dxa" w:w="120"/>
            </w:tcMar>
            <w:vAlign w:val="center"/>
          </w:tcPr>
          <w:p>
            <w:pPr>
              <w:jc w:val="center"/>
            </w:pPr>
            <w:r>
              <w:rPr>
                <w:rFonts w:ascii="Calibri" w:cs="Calibri" w:eastAsia="Calibri" w:hAnsi="Calibri"/>
                <w:b/>
                <w:bCs/>
                <w:color w:val="FFFFFF"/>
                <w:sz w:val="20"/>
                <w:szCs w:val="20"/>
              </w:rPr>
              <w:t xml:space="preserve">Annual (10k users)</w:t>
            </w:r>
          </w:p>
        </w:tc>
        <w:tc>
          <w:tcPr>
            <w:tcW w:type="dxa" w:w="2100"/>
            <w:tcBorders>
              <w:top w:val="single" w:color="CCCCCC" w:sz="1"/>
              <w:left w:val="single" w:color="CCCCCC" w:sz="1"/>
              <w:bottom w:val="single" w:color="CCCCCC" w:sz="1"/>
              <w:right w:val="single" w:color="CCCCCC" w:sz="1"/>
            </w:tcBorders>
            <w:shd w:fill="0D1B4B" w:val="clear"/>
            <w:tcMar>
              <w:top w:type="dxa" w:w="60"/>
              <w:left w:type="dxa" w:w="120"/>
              <w:bottom w:type="dxa" w:w="60"/>
              <w:right w:type="dxa" w:w="120"/>
            </w:tcMar>
            <w:vAlign w:val="center"/>
          </w:tcPr>
          <w:p>
            <w:pPr>
              <w:jc w:val="center"/>
            </w:pPr>
            <w:r>
              <w:rPr>
                <w:rFonts w:ascii="Calibri" w:cs="Calibri" w:eastAsia="Calibri" w:hAnsi="Calibri"/>
                <w:b/>
                <w:bCs/>
                <w:color w:val="FFFFFF"/>
                <w:sz w:val="20"/>
                <w:szCs w:val="20"/>
              </w:rPr>
              <w:t xml:space="preserve">Annual (25k users)</w:t>
            </w:r>
          </w:p>
        </w:tc>
      </w:tr>
      <w:tr>
        <w:tc>
          <w:tcPr>
            <w:tcW w:type="dxa" w:w="3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Interchange fees (card spend)</w:t>
            </w:r>
          </w:p>
        </w:tc>
        <w:tc>
          <w:tcPr>
            <w:tcW w:type="dxa" w:w="1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1.2%</w:t>
            </w:r>
          </w:p>
        </w:tc>
        <w:tc>
          <w:tcPr>
            <w:tcW w:type="dxa" w:w="21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bCs/>
                <w:color w:val="111111"/>
                <w:sz w:val="19"/>
                <w:szCs w:val="19"/>
              </w:rPr>
              <w:t xml:space="preserve">$720,000</w:t>
            </w:r>
          </w:p>
        </w:tc>
        <w:tc>
          <w:tcPr>
            <w:tcW w:type="dxa" w:w="21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bCs/>
                <w:color w:val="111111"/>
                <w:sz w:val="19"/>
                <w:szCs w:val="19"/>
              </w:rPr>
              <w:t xml:space="preserve">$1,800,000</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FX conversion margin (25% cross-border)</w:t>
            </w:r>
          </w:p>
        </w:tc>
        <w:tc>
          <w:tcPr>
            <w:tcW w:type="dxa" w:w="1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1.2%</w:t>
            </w:r>
          </w:p>
        </w:tc>
        <w:tc>
          <w:tcPr>
            <w:tcW w:type="dxa" w:w="21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Calibri" w:cs="Calibri" w:eastAsia="Calibri" w:hAnsi="Calibri"/>
                <w:b/>
                <w:bCs/>
                <w:color w:val="111111"/>
                <w:sz w:val="19"/>
                <w:szCs w:val="19"/>
              </w:rPr>
              <w:t xml:space="preserve">$180,000</w:t>
            </w:r>
          </w:p>
        </w:tc>
        <w:tc>
          <w:tcPr>
            <w:tcW w:type="dxa" w:w="21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Calibri" w:cs="Calibri" w:eastAsia="Calibri" w:hAnsi="Calibri"/>
                <w:b/>
                <w:bCs/>
                <w:color w:val="111111"/>
                <w:sz w:val="19"/>
                <w:szCs w:val="19"/>
              </w:rPr>
              <w:t xml:space="preserve">$450,000</w:t>
            </w:r>
          </w:p>
        </w:tc>
      </w:tr>
      <w:tr>
        <w:tc>
          <w:tcPr>
            <w:tcW w:type="dxa" w:w="3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Premium subscriptions (15% at $5/month)</w:t>
            </w:r>
          </w:p>
        </w:tc>
        <w:tc>
          <w:tcPr>
            <w:tcW w:type="dxa" w:w="1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$60/yr</w:t>
            </w:r>
          </w:p>
        </w:tc>
        <w:tc>
          <w:tcPr>
            <w:tcW w:type="dxa" w:w="21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bCs/>
                <w:color w:val="111111"/>
                <w:sz w:val="19"/>
                <w:szCs w:val="19"/>
              </w:rPr>
              <w:t xml:space="preserve">$90,000</w:t>
            </w:r>
          </w:p>
        </w:tc>
        <w:tc>
          <w:tcPr>
            <w:tcW w:type="dxa" w:w="21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bCs/>
                <w:color w:val="111111"/>
                <w:sz w:val="19"/>
                <w:szCs w:val="19"/>
              </w:rPr>
              <w:t xml:space="preserve">$225,000</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Stablecoin float yield (4% APY on USDC)</w:t>
            </w:r>
          </w:p>
        </w:tc>
        <w:tc>
          <w:tcPr>
            <w:tcW w:type="dxa" w:w="1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4% APY</w:t>
            </w:r>
          </w:p>
        </w:tc>
        <w:tc>
          <w:tcPr>
            <w:tcW w:type="dxa" w:w="21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Calibri" w:cs="Calibri" w:eastAsia="Calibri" w:hAnsi="Calibri"/>
                <w:b/>
                <w:bCs/>
                <w:color w:val="111111"/>
                <w:sz w:val="19"/>
                <w:szCs w:val="19"/>
              </w:rPr>
              <w:t xml:space="preserve">$60,000</w:t>
            </w:r>
          </w:p>
        </w:tc>
        <w:tc>
          <w:tcPr>
            <w:tcW w:type="dxa" w:w="21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Calibri" w:cs="Calibri" w:eastAsia="Calibri" w:hAnsi="Calibri"/>
                <w:b/>
                <w:bCs/>
                <w:color w:val="111111"/>
                <w:sz w:val="19"/>
                <w:szCs w:val="19"/>
              </w:rPr>
              <w:t xml:space="preserve">$150,000</w:t>
            </w:r>
          </w:p>
        </w:tc>
      </w:tr>
      <w:tr>
        <w:tc>
          <w:tcPr>
            <w:tcW w:type="dxa" w:w="3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ATM fees and card issuance fees</w:t>
            </w:r>
          </w:p>
        </w:tc>
        <w:tc>
          <w:tcPr>
            <w:tcW w:type="dxa" w:w="1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Various</w:t>
            </w:r>
          </w:p>
        </w:tc>
        <w:tc>
          <w:tcPr>
            <w:tcW w:type="dxa" w:w="21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bCs/>
                <w:color w:val="111111"/>
                <w:sz w:val="19"/>
                <w:szCs w:val="19"/>
              </w:rPr>
              <w:t xml:space="preserve">$47,000</w:t>
            </w:r>
          </w:p>
        </w:tc>
        <w:tc>
          <w:tcPr>
            <w:tcW w:type="dxa" w:w="21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bCs/>
                <w:color w:val="111111"/>
                <w:sz w:val="19"/>
                <w:szCs w:val="19"/>
              </w:rPr>
              <w:t xml:space="preserve">$117,000</w:t>
            </w:r>
          </w:p>
        </w:tc>
      </w:tr>
      <w:tr>
        <w:tc>
          <w:tcPr>
            <w:tcW w:type="dxa" w:w="3600"/>
            <w:tcBorders>
              <w:top w:val="single" w:color="CCCCCC" w:sz="1"/>
              <w:left w:val="single" w:color="CCCCCC" w:sz="1"/>
              <w:bottom w:val="single" w:color="CCCCCC" w:sz="1"/>
              <w:right w:val="single" w:color="CCCCCC" w:sz="1"/>
            </w:tcBorders>
            <w:shd w:fill="0D1B4B" w:val="clear"/>
            <w:tcMar>
              <w:top w:type="dxa" w:w="90"/>
              <w:left w:type="dxa" w:w="140"/>
              <w:bottom w:type="dxa" w:w="90"/>
              <w:right w:type="dxa" w:w="140"/>
            </w:tcMar>
            <w:vAlign w:val="center"/>
          </w:tcPr>
          <w:p>
            <w:pPr>
              <w:jc w:val="left"/>
            </w:pPr>
            <w:r>
              <w:rPr>
                <w:rFonts w:ascii="Calibri" w:cs="Calibri" w:eastAsia="Calibri" w:hAnsi="Calibri"/>
                <w:b/>
                <w:bCs/>
                <w:color w:val="FFFFFF"/>
                <w:sz w:val="19"/>
                <w:szCs w:val="19"/>
              </w:rPr>
              <w:t xml:space="preserve">TOTAL ANNUAL REVENUE</w:t>
            </w:r>
          </w:p>
        </w:tc>
        <w:tc>
          <w:tcPr>
            <w:tcW w:type="dxa" w:w="1560"/>
            <w:tcBorders>
              <w:top w:val="single" w:color="CCCCCC" w:sz="1"/>
              <w:left w:val="single" w:color="CCCCCC" w:sz="1"/>
              <w:bottom w:val="single" w:color="CCCCCC" w:sz="1"/>
              <w:right w:val="single" w:color="CCCCCC" w:sz="1"/>
            </w:tcBorders>
            <w:shd w:fill="0D1B4B"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
            </w:r>
          </w:p>
        </w:tc>
        <w:tc>
          <w:tcPr>
            <w:tcW w:type="dxa" w:w="2100"/>
            <w:tcBorders>
              <w:top w:val="single" w:color="CCCCCC" w:sz="1"/>
              <w:left w:val="single" w:color="CCCCCC" w:sz="1"/>
              <w:bottom w:val="single" w:color="CCCCCC" w:sz="1"/>
              <w:right w:val="single" w:color="CCCCCC" w:sz="1"/>
            </w:tcBorders>
            <w:shd w:fill="0D1B4B" w:val="clear"/>
            <w:tcMar>
              <w:top w:type="dxa" w:w="90"/>
              <w:left w:type="dxa" w:w="140"/>
              <w:bottom w:type="dxa" w:w="90"/>
              <w:right w:type="dxa" w:w="140"/>
            </w:tcMar>
            <w:vAlign w:val="center"/>
          </w:tcPr>
          <w:p>
            <w:pPr>
              <w:jc w:val="left"/>
            </w:pPr>
            <w:r>
              <w:rPr>
                <w:rFonts w:ascii="Calibri" w:cs="Calibri" w:eastAsia="Calibri" w:hAnsi="Calibri"/>
                <w:b/>
                <w:bCs/>
                <w:color w:val="C9A84C"/>
                <w:sz w:val="19"/>
                <w:szCs w:val="19"/>
              </w:rPr>
              <w:t xml:space="preserve">$1,097,000</w:t>
            </w:r>
          </w:p>
        </w:tc>
        <w:tc>
          <w:tcPr>
            <w:tcW w:type="dxa" w:w="2100"/>
            <w:tcBorders>
              <w:top w:val="single" w:color="CCCCCC" w:sz="1"/>
              <w:left w:val="single" w:color="CCCCCC" w:sz="1"/>
              <w:bottom w:val="single" w:color="CCCCCC" w:sz="1"/>
              <w:right w:val="single" w:color="CCCCCC" w:sz="1"/>
            </w:tcBorders>
            <w:shd w:fill="0D1B4B" w:val="clear"/>
            <w:tcMar>
              <w:top w:type="dxa" w:w="90"/>
              <w:left w:type="dxa" w:w="140"/>
              <w:bottom w:type="dxa" w:w="90"/>
              <w:right w:type="dxa" w:w="140"/>
            </w:tcMar>
            <w:vAlign w:val="center"/>
          </w:tcPr>
          <w:p>
            <w:pPr>
              <w:jc w:val="left"/>
            </w:pPr>
            <w:r>
              <w:rPr>
                <w:rFonts w:ascii="Calibri" w:cs="Calibri" w:eastAsia="Calibri" w:hAnsi="Calibri"/>
                <w:b/>
                <w:bCs/>
                <w:color w:val="C9A84C"/>
                <w:sz w:val="19"/>
                <w:szCs w:val="19"/>
              </w:rPr>
              <w:t xml:space="preserve">$2,742,000</w:t>
            </w:r>
          </w:p>
        </w:tc>
      </w:tr>
    </w:tbl>
    <w:p>
      <w:pPr>
        <w:spacing w:after="100" w:before="100"/>
      </w:pPr>
      <w:r>
        <w:rPr>
          <w:sz w:val="20"/>
          <w:szCs w:val="20"/>
        </w:rPr>
        <w:t xml:space="preserve"/>
      </w:r>
    </w:p>
    <w:p>
      <w:pPr>
        <w:spacing w:after="80" w:before="260"/>
      </w:pPr>
      <w:r>
        <w:rPr>
          <w:rFonts w:ascii="Calibri" w:cs="Calibri" w:eastAsia="Calibri" w:hAnsi="Calibri"/>
          <w:b/>
          <w:bCs/>
          <w:color w:val="2563EB"/>
          <w:sz w:val="26"/>
          <w:szCs w:val="26"/>
        </w:rPr>
        <w:t xml:space="preserve">6.3  Net Profit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2730"/>
        <w:gridCol w:w="2730"/>
      </w:tblGrid>
      <w:tr>
        <w:tc>
          <w:tcPr>
            <w:tcW w:type="dxa" w:w="3900"/>
            <w:tcBorders>
              <w:top w:val="single" w:color="CCCCCC" w:sz="1"/>
              <w:left w:val="single" w:color="CCCCCC" w:sz="1"/>
              <w:bottom w:val="single" w:color="CCCCCC" w:sz="1"/>
              <w:right w:val="single" w:color="CCCCCC" w:sz="1"/>
            </w:tcBorders>
            <w:shd w:fill="0D1B4B" w:val="clear"/>
            <w:tcMar>
              <w:top w:type="dxa" w:w="60"/>
              <w:left w:type="dxa" w:w="120"/>
              <w:bottom w:type="dxa" w:w="60"/>
              <w:right w:type="dxa" w:w="120"/>
            </w:tcMar>
            <w:vAlign w:val="center"/>
          </w:tcPr>
          <w:p>
            <w:pPr>
              <w:jc w:val="center"/>
            </w:pPr>
            <w:r>
              <w:rPr>
                <w:rFonts w:ascii="Calibri" w:cs="Calibri" w:eastAsia="Calibri" w:hAnsi="Calibri"/>
                <w:b/>
                <w:bCs/>
                <w:color w:val="FFFFFF"/>
                <w:sz w:val="20"/>
                <w:szCs w:val="20"/>
              </w:rPr>
              <w:t xml:space="preserve"/>
            </w:r>
          </w:p>
        </w:tc>
        <w:tc>
          <w:tcPr>
            <w:tcW w:type="dxa" w:w="2730"/>
            <w:tcBorders>
              <w:top w:val="single" w:color="CCCCCC" w:sz="1"/>
              <w:left w:val="single" w:color="CCCCCC" w:sz="1"/>
              <w:bottom w:val="single" w:color="CCCCCC" w:sz="1"/>
              <w:right w:val="single" w:color="CCCCCC" w:sz="1"/>
            </w:tcBorders>
            <w:shd w:fill="0D1B4B" w:val="clear"/>
            <w:tcMar>
              <w:top w:type="dxa" w:w="60"/>
              <w:left w:type="dxa" w:w="120"/>
              <w:bottom w:type="dxa" w:w="60"/>
              <w:right w:type="dxa" w:w="120"/>
            </w:tcMar>
            <w:vAlign w:val="center"/>
          </w:tcPr>
          <w:p>
            <w:pPr>
              <w:jc w:val="center"/>
            </w:pPr>
            <w:r>
              <w:rPr>
                <w:rFonts w:ascii="Calibri" w:cs="Calibri" w:eastAsia="Calibri" w:hAnsi="Calibri"/>
                <w:b/>
                <w:bCs/>
                <w:color w:val="FFFFFF"/>
                <w:sz w:val="20"/>
                <w:szCs w:val="20"/>
              </w:rPr>
              <w:t xml:space="preserve">10,000 Users</w:t>
            </w:r>
          </w:p>
        </w:tc>
        <w:tc>
          <w:tcPr>
            <w:tcW w:type="dxa" w:w="2730"/>
            <w:tcBorders>
              <w:top w:val="single" w:color="CCCCCC" w:sz="1"/>
              <w:left w:val="single" w:color="CCCCCC" w:sz="1"/>
              <w:bottom w:val="single" w:color="CCCCCC" w:sz="1"/>
              <w:right w:val="single" w:color="CCCCCC" w:sz="1"/>
            </w:tcBorders>
            <w:shd w:fill="0D1B4B" w:val="clear"/>
            <w:tcMar>
              <w:top w:type="dxa" w:w="60"/>
              <w:left w:type="dxa" w:w="120"/>
              <w:bottom w:type="dxa" w:w="60"/>
              <w:right w:type="dxa" w:w="120"/>
            </w:tcMar>
            <w:vAlign w:val="center"/>
          </w:tcPr>
          <w:p>
            <w:pPr>
              <w:jc w:val="center"/>
            </w:pPr>
            <w:r>
              <w:rPr>
                <w:rFonts w:ascii="Calibri" w:cs="Calibri" w:eastAsia="Calibri" w:hAnsi="Calibri"/>
                <w:b/>
                <w:bCs/>
                <w:color w:val="FFFFFF"/>
                <w:sz w:val="20"/>
                <w:szCs w:val="20"/>
              </w:rPr>
              <w:t xml:space="preserve">25,000 Users</w:t>
            </w:r>
          </w:p>
        </w:tc>
      </w:tr>
      <w:tr>
        <w:tc>
          <w:tcPr>
            <w:tcW w:type="dxa" w:w="39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bCs/>
                <w:color w:val="111111"/>
                <w:sz w:val="19"/>
                <w:szCs w:val="19"/>
              </w:rPr>
              <w:t xml:space="preserve">Total Annual Revenue</w:t>
            </w:r>
          </w:p>
        </w:tc>
        <w:tc>
          <w:tcPr>
            <w:tcW w:type="dxa" w:w="273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$1,097,000</w:t>
            </w:r>
          </w:p>
        </w:tc>
        <w:tc>
          <w:tcPr>
            <w:tcW w:type="dxa" w:w="273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$2,742,000</w:t>
            </w:r>
          </w:p>
        </w:tc>
      </w:tr>
      <w:tr>
        <w:tc>
          <w:tcPr>
            <w:tcW w:type="dxa" w:w="3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Calibri" w:cs="Calibri" w:eastAsia="Calibri" w:hAnsi="Calibri"/>
                <w:b/>
                <w:bCs/>
                <w:color w:val="111111"/>
                <w:sz w:val="19"/>
                <w:szCs w:val="19"/>
              </w:rPr>
              <w:t xml:space="preserve">Total Annual Costs</w:t>
            </w:r>
          </w:p>
        </w:tc>
        <w:tc>
          <w:tcPr>
            <w:tcW w:type="dxa" w:w="273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$788,750</w:t>
            </w:r>
          </w:p>
        </w:tc>
        <w:tc>
          <w:tcPr>
            <w:tcW w:type="dxa" w:w="273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$1,696,875</w:t>
            </w:r>
          </w:p>
        </w:tc>
      </w:tr>
      <w:tr>
        <w:tc>
          <w:tcPr>
            <w:tcW w:type="dxa" w:w="3900"/>
            <w:tcBorders>
              <w:top w:val="single" w:color="CCCCCC" w:sz="1"/>
              <w:left w:val="single" w:color="CCCCCC" w:sz="1"/>
              <w:bottom w:val="single" w:color="CCCCCC" w:sz="1"/>
              <w:right w:val="single" w:color="CCCCCC" w:sz="1"/>
            </w:tcBorders>
            <w:shd w:fill="FDF3DC" w:val="clear"/>
            <w:tcMar>
              <w:top w:type="dxa" w:w="90"/>
              <w:left w:type="dxa" w:w="140"/>
              <w:bottom w:type="dxa" w:w="90"/>
              <w:right w:type="dxa" w:w="140"/>
            </w:tcMar>
            <w:vAlign w:val="center"/>
          </w:tcPr>
          <w:p>
            <w:pPr>
              <w:jc w:val="left"/>
            </w:pPr>
            <w:r>
              <w:rPr>
                <w:rFonts w:ascii="Calibri" w:cs="Calibri" w:eastAsia="Calibri" w:hAnsi="Calibri"/>
                <w:b/>
                <w:bCs/>
                <w:color w:val="111111"/>
                <w:sz w:val="19"/>
                <w:szCs w:val="19"/>
              </w:rPr>
              <w:t xml:space="preserve">NET PROFIT</w:t>
            </w:r>
          </w:p>
        </w:tc>
        <w:tc>
          <w:tcPr>
            <w:tcW w:type="dxa" w:w="2730"/>
            <w:tcBorders>
              <w:top w:val="single" w:color="CCCCCC" w:sz="1"/>
              <w:left w:val="single" w:color="CCCCCC" w:sz="1"/>
              <w:bottom w:val="single" w:color="CCCCCC" w:sz="1"/>
              <w:right w:val="single" w:color="CCCCCC" w:sz="1"/>
            </w:tcBorders>
            <w:shd w:fill="FDF3DC" w:val="clear"/>
            <w:tcMar>
              <w:top w:type="dxa" w:w="90"/>
              <w:left w:type="dxa" w:w="140"/>
              <w:bottom w:type="dxa" w:w="90"/>
              <w:right w:type="dxa" w:w="140"/>
            </w:tcMar>
            <w:vAlign w:val="center"/>
          </w:tcPr>
          <w:p>
            <w:pPr>
              <w:jc w:val="left"/>
            </w:pPr>
            <w:r>
              <w:rPr>
                <w:rFonts w:ascii="Calibri" w:cs="Calibri" w:eastAsia="Calibri" w:hAnsi="Calibri"/>
                <w:b/>
                <w:bCs/>
                <w:color w:val="1A7A4A"/>
                <w:sz w:val="19"/>
                <w:szCs w:val="19"/>
              </w:rPr>
              <w:t xml:space="preserve">$308,250</w:t>
            </w:r>
          </w:p>
        </w:tc>
        <w:tc>
          <w:tcPr>
            <w:tcW w:type="dxa" w:w="2730"/>
            <w:tcBorders>
              <w:top w:val="single" w:color="CCCCCC" w:sz="1"/>
              <w:left w:val="single" w:color="CCCCCC" w:sz="1"/>
              <w:bottom w:val="single" w:color="CCCCCC" w:sz="1"/>
              <w:right w:val="single" w:color="CCCCCC" w:sz="1"/>
            </w:tcBorders>
            <w:shd w:fill="FDF3DC" w:val="clear"/>
            <w:tcMar>
              <w:top w:type="dxa" w:w="90"/>
              <w:left w:type="dxa" w:w="140"/>
              <w:bottom w:type="dxa" w:w="90"/>
              <w:right w:type="dxa" w:w="140"/>
            </w:tcMar>
            <w:vAlign w:val="center"/>
          </w:tcPr>
          <w:p>
            <w:pPr>
              <w:jc w:val="left"/>
            </w:pPr>
            <w:r>
              <w:rPr>
                <w:rFonts w:ascii="Calibri" w:cs="Calibri" w:eastAsia="Calibri" w:hAnsi="Calibri"/>
                <w:b/>
                <w:bCs/>
                <w:color w:val="1A7A4A"/>
                <w:sz w:val="19"/>
                <w:szCs w:val="19"/>
              </w:rPr>
              <w:t xml:space="preserve">$1,045,125</w:t>
            </w:r>
          </w:p>
        </w:tc>
      </w:tr>
      <w:tr>
        <w:tc>
          <w:tcPr>
            <w:tcW w:type="dxa" w:w="39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bCs/>
                <w:color w:val="111111"/>
                <w:sz w:val="19"/>
                <w:szCs w:val="19"/>
              </w:rPr>
              <w:t xml:space="preserve">Profit Margin</w:t>
            </w:r>
          </w:p>
        </w:tc>
        <w:tc>
          <w:tcPr>
            <w:tcW w:type="dxa" w:w="273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bCs/>
                <w:color w:val="111111"/>
                <w:sz w:val="19"/>
                <w:szCs w:val="19"/>
              </w:rPr>
              <w:t xml:space="preserve">28%</w:t>
            </w:r>
          </w:p>
        </w:tc>
        <w:tc>
          <w:tcPr>
            <w:tcW w:type="dxa" w:w="273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bCs/>
                <w:color w:val="111111"/>
                <w:sz w:val="19"/>
                <w:szCs w:val="19"/>
              </w:rPr>
              <w:t xml:space="preserve">38%</w:t>
            </w:r>
          </w:p>
        </w:tc>
      </w:tr>
    </w:tbl>
    <w:p>
      <w:pPr>
        <w:spacing w:after="100" w:before="100"/>
      </w:pPr>
      <w:r>
        <w:rPr>
          <w:sz w:val="20"/>
          <w:szCs w:val="20"/>
        </w:rPr>
        <w:t xml:space="preserve"/>
      </w:r>
    </w:p>
    <w:p>
      <w:pPr>
        <w:pBdr>
          <w:left w:val="single" w:color="2563EB" w:sz="18" w:space="8"/>
        </w:pBdr>
        <w:shd w:fill="E8EEF9" w:val="clear"/>
        <w:spacing w:after="140" w:before="140"/>
      </w:pPr>
      <w:r>
        <w:rPr>
          <w:rFonts w:ascii="Calibri" w:cs="Calibri" w:eastAsia="Calibri" w:hAnsi="Calibri"/>
          <w:i/>
          <w:iCs/>
          <w:color w:val="0D1B4B"/>
          <w:sz w:val="20"/>
          <w:szCs w:val="20"/>
        </w:rPr>
        <w:t xml:space="preserve">Breakeven: approximately 5,000 active cardholders at $500/month average spend — achievable within 12–18 months post-launch with the proposed $500k seed investment. The stablecoin route reaches breakeven 3x faster than traditional rails due to lower fixed costs and additional revenue streams.</w:t>
      </w:r>
    </w:p>
    <w:p>
      <w:r>
        <w:br w:type="page"/>
      </w:r>
    </w:p>
    <w:p>
      <w:pPr>
        <w:pBdr>
          <w:bottom w:val="single" w:color="C9A84C" w:sz="8" w:space="4"/>
        </w:pBdr>
        <w:spacing w:after="160" w:before="400"/>
      </w:pPr>
      <w:r>
        <w:rPr>
          <w:rFonts w:ascii="Calibri" w:cs="Calibri" w:eastAsia="Calibri" w:hAnsi="Calibri"/>
          <w:b/>
          <w:bCs/>
          <w:color w:val="0D1B4B"/>
          <w:sz w:val="36"/>
          <w:szCs w:val="36"/>
        </w:rPr>
        <w:t xml:space="preserve">7. Investment Ask &amp; Use of Funds</w:t>
      </w:r>
    </w:p>
    <w:p>
      <w:pPr>
        <w:spacing w:after="60" w:before="60"/>
      </w:pPr>
      <w:r>
        <w:rPr>
          <w:rFonts w:ascii="Calibri" w:cs="Calibri" w:eastAsia="Calibri" w:hAnsi="Calibri"/>
          <w:b w:val="false"/>
          <w:bCs w:val="false"/>
          <w:color w:val="111111"/>
          <w:sz w:val="20"/>
          <w:szCs w:val="20"/>
        </w:rPr>
        <w:t xml:space="preserve">Kin is seeking $500,000 in seed funding to cover the full cost of launch through to profitability. This is structured as an 18-month runway with clear milestones and transparent allocation.</w:t>
      </w:r>
    </w:p>
    <w:p>
      <w:pPr>
        <w:spacing w:after="100" w:before="10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560"/>
        <w:gridCol w:w="3600"/>
      </w:tblGrid>
      <w:tr>
        <w:tc>
          <w:tcPr>
            <w:tcW w:type="dxa" w:w="4200"/>
            <w:tcBorders>
              <w:top w:val="single" w:color="CCCCCC" w:sz="1"/>
              <w:left w:val="single" w:color="CCCCCC" w:sz="1"/>
              <w:bottom w:val="single" w:color="CCCCCC" w:sz="1"/>
              <w:right w:val="single" w:color="CCCCCC" w:sz="1"/>
            </w:tcBorders>
            <w:shd w:fill="0D1B4B" w:val="clear"/>
            <w:tcMar>
              <w:top w:type="dxa" w:w="60"/>
              <w:left w:type="dxa" w:w="120"/>
              <w:bottom w:type="dxa" w:w="60"/>
              <w:right w:type="dxa" w:w="120"/>
            </w:tcMar>
            <w:vAlign w:val="center"/>
          </w:tcPr>
          <w:p>
            <w:pPr>
              <w:jc w:val="center"/>
            </w:pPr>
            <w:r>
              <w:rPr>
                <w:rFonts w:ascii="Calibri" w:cs="Calibri" w:eastAsia="Calibri" w:hAnsi="Calibri"/>
                <w:b/>
                <w:bCs/>
                <w:color w:val="FFFFFF"/>
                <w:sz w:val="20"/>
                <w:szCs w:val="20"/>
              </w:rPr>
              <w:t xml:space="preserve">Use of Funds</w:t>
            </w:r>
          </w:p>
        </w:tc>
        <w:tc>
          <w:tcPr>
            <w:tcW w:type="dxa" w:w="1560"/>
            <w:tcBorders>
              <w:top w:val="single" w:color="CCCCCC" w:sz="1"/>
              <w:left w:val="single" w:color="CCCCCC" w:sz="1"/>
              <w:bottom w:val="single" w:color="CCCCCC" w:sz="1"/>
              <w:right w:val="single" w:color="CCCCCC" w:sz="1"/>
            </w:tcBorders>
            <w:shd w:fill="0D1B4B" w:val="clear"/>
            <w:tcMar>
              <w:top w:type="dxa" w:w="60"/>
              <w:left w:type="dxa" w:w="120"/>
              <w:bottom w:type="dxa" w:w="60"/>
              <w:right w:type="dxa" w:w="120"/>
            </w:tcMar>
            <w:vAlign w:val="center"/>
          </w:tcPr>
          <w:p>
            <w:pPr>
              <w:jc w:val="center"/>
            </w:pPr>
            <w:r>
              <w:rPr>
                <w:rFonts w:ascii="Calibri" w:cs="Calibri" w:eastAsia="Calibri" w:hAnsi="Calibri"/>
                <w:b/>
                <w:bCs/>
                <w:color w:val="FFFFFF"/>
                <w:sz w:val="20"/>
                <w:szCs w:val="20"/>
              </w:rPr>
              <w:t xml:space="preserve">Amount</w:t>
            </w:r>
          </w:p>
        </w:tc>
        <w:tc>
          <w:tcPr>
            <w:tcW w:type="dxa" w:w="3600"/>
            <w:tcBorders>
              <w:top w:val="single" w:color="CCCCCC" w:sz="1"/>
              <w:left w:val="single" w:color="CCCCCC" w:sz="1"/>
              <w:bottom w:val="single" w:color="CCCCCC" w:sz="1"/>
              <w:right w:val="single" w:color="CCCCCC" w:sz="1"/>
            </w:tcBorders>
            <w:shd w:fill="0D1B4B" w:val="clear"/>
            <w:tcMar>
              <w:top w:type="dxa" w:w="60"/>
              <w:left w:type="dxa" w:w="120"/>
              <w:bottom w:type="dxa" w:w="60"/>
              <w:right w:type="dxa" w:w="120"/>
            </w:tcMar>
            <w:vAlign w:val="center"/>
          </w:tcPr>
          <w:p>
            <w:pPr>
              <w:jc w:val="center"/>
            </w:pPr>
            <w:r>
              <w:rPr>
                <w:rFonts w:ascii="Calibri" w:cs="Calibri" w:eastAsia="Calibri" w:hAnsi="Calibri"/>
                <w:b/>
                <w:bCs/>
                <w:color w:val="FFFFFF"/>
                <w:sz w:val="20"/>
                <w:szCs w:val="20"/>
              </w:rPr>
              <w:t xml:space="preserve">Milestone Unlocked</w:t>
            </w:r>
          </w:p>
        </w:tc>
      </w:tr>
      <w:tr>
        <w:tc>
          <w:tcPr>
            <w:tcW w:type="dxa" w:w="4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App development (iOS and Android)</w:t>
            </w:r>
          </w:p>
        </w:tc>
        <w:tc>
          <w:tcPr>
            <w:tcW w:type="dxa" w:w="1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$80,000</w:t>
            </w:r>
          </w:p>
        </w:tc>
        <w:tc>
          <w:tcPr>
            <w:tcW w:type="dxa" w:w="3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Beta app live — Month 3</w:t>
            </w:r>
          </w:p>
        </w:tc>
      </w:tr>
      <w:tr>
        <w:tc>
          <w:tcPr>
            <w:tcW w:type="dxa" w:w="4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Rain API integration and card programme setup</w:t>
            </w:r>
          </w:p>
        </w:tc>
        <w:tc>
          <w:tcPr>
            <w:tcW w:type="dxa" w:w="1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$40,000</w:t>
            </w:r>
          </w:p>
        </w:tc>
        <w:tc>
          <w:tcPr>
            <w:tcW w:type="dxa" w:w="3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Virtual cards issued — Month 4</w:t>
            </w:r>
          </w:p>
        </w:tc>
      </w:tr>
      <w:tr>
        <w:tc>
          <w:tcPr>
            <w:tcW w:type="dxa" w:w="4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Legal, regulatory and BOJ compliance</w:t>
            </w:r>
          </w:p>
        </w:tc>
        <w:tc>
          <w:tcPr>
            <w:tcW w:type="dxa" w:w="1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$50,000</w:t>
            </w:r>
          </w:p>
        </w:tc>
        <w:tc>
          <w:tcPr>
            <w:tcW w:type="dxa" w:w="3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Regulatory approval — Month 5</w:t>
            </w:r>
          </w:p>
        </w:tc>
      </w:tr>
      <w:tr>
        <w:tc>
          <w:tcPr>
            <w:tcW w:type="dxa" w:w="4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First physical card run (5,000 cards)</w:t>
            </w:r>
          </w:p>
        </w:tc>
        <w:tc>
          <w:tcPr>
            <w:tcW w:type="dxa" w:w="1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$50,000</w:t>
            </w:r>
          </w:p>
        </w:tc>
        <w:tc>
          <w:tcPr>
            <w:tcW w:type="dxa" w:w="3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Physical cards live — Month 6</w:t>
            </w:r>
          </w:p>
        </w:tc>
      </w:tr>
      <w:tr>
        <w:tc>
          <w:tcPr>
            <w:tcW w:type="dxa" w:w="4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KYC platform and compliance setup</w:t>
            </w:r>
          </w:p>
        </w:tc>
        <w:tc>
          <w:tcPr>
            <w:tcW w:type="dxa" w:w="1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$30,000</w:t>
            </w:r>
          </w:p>
        </w:tc>
        <w:tc>
          <w:tcPr>
            <w:tcW w:type="dxa" w:w="3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Compliant onboarding — Month 3</w:t>
            </w:r>
          </w:p>
        </w:tc>
      </w:tr>
      <w:tr>
        <w:tc>
          <w:tcPr>
            <w:tcW w:type="dxa" w:w="4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Marketing and user acquisition (Year 1)</w:t>
            </w:r>
          </w:p>
        </w:tc>
        <w:tc>
          <w:tcPr>
            <w:tcW w:type="dxa" w:w="1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$80,000</w:t>
            </w:r>
          </w:p>
        </w:tc>
        <w:tc>
          <w:tcPr>
            <w:tcW w:type="dxa" w:w="3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5,000 users by Month 12</w:t>
            </w:r>
          </w:p>
        </w:tc>
      </w:tr>
      <w:tr>
        <w:tc>
          <w:tcPr>
            <w:tcW w:type="dxa" w:w="4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Core team (CTO, Compliance, Operations) — 18 months</w:t>
            </w:r>
          </w:p>
        </w:tc>
        <w:tc>
          <w:tcPr>
            <w:tcW w:type="dxa" w:w="1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$120,000</w:t>
            </w:r>
          </w:p>
        </w:tc>
        <w:tc>
          <w:tcPr>
            <w:tcW w:type="dxa" w:w="3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Operational from Day 1</w:t>
            </w:r>
          </w:p>
        </w:tc>
      </w:tr>
      <w:tr>
        <w:tc>
          <w:tcPr>
            <w:tcW w:type="dxa" w:w="4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Working capital reserve</w:t>
            </w:r>
          </w:p>
        </w:tc>
        <w:tc>
          <w:tcPr>
            <w:tcW w:type="dxa" w:w="1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$50,000</w:t>
            </w:r>
          </w:p>
        </w:tc>
        <w:tc>
          <w:tcPr>
            <w:tcW w:type="dxa" w:w="3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Buffer for delays or cost overruns</w:t>
            </w:r>
          </w:p>
        </w:tc>
      </w:tr>
      <w:tr>
        <w:tc>
          <w:tcPr>
            <w:tcW w:type="dxa" w:w="4200"/>
            <w:tcBorders>
              <w:top w:val="single" w:color="CCCCCC" w:sz="1"/>
              <w:left w:val="single" w:color="CCCCCC" w:sz="1"/>
              <w:bottom w:val="single" w:color="CCCCCC" w:sz="1"/>
              <w:right w:val="single" w:color="CCCCCC" w:sz="1"/>
            </w:tcBorders>
            <w:shd w:fill="0D1B4B" w:val="clear"/>
            <w:tcMar>
              <w:top w:type="dxa" w:w="90"/>
              <w:left w:type="dxa" w:w="140"/>
              <w:bottom w:type="dxa" w:w="90"/>
              <w:right w:type="dxa" w:w="140"/>
            </w:tcMar>
            <w:vAlign w:val="center"/>
          </w:tcPr>
          <w:p>
            <w:pPr>
              <w:jc w:val="left"/>
            </w:pPr>
            <w:r>
              <w:rPr>
                <w:rFonts w:ascii="Calibri" w:cs="Calibri" w:eastAsia="Calibri" w:hAnsi="Calibri"/>
                <w:b/>
                <w:bCs/>
                <w:color w:val="FFFFFF"/>
                <w:sz w:val="19"/>
                <w:szCs w:val="19"/>
              </w:rPr>
              <w:t xml:space="preserve">TOTAL SEED ROUND</w:t>
            </w:r>
          </w:p>
        </w:tc>
        <w:tc>
          <w:tcPr>
            <w:tcW w:type="dxa" w:w="1560"/>
            <w:tcBorders>
              <w:top w:val="single" w:color="CCCCCC" w:sz="1"/>
              <w:left w:val="single" w:color="CCCCCC" w:sz="1"/>
              <w:bottom w:val="single" w:color="CCCCCC" w:sz="1"/>
              <w:right w:val="single" w:color="CCCCCC" w:sz="1"/>
            </w:tcBorders>
            <w:shd w:fill="0D1B4B" w:val="clear"/>
            <w:tcMar>
              <w:top w:type="dxa" w:w="90"/>
              <w:left w:type="dxa" w:w="140"/>
              <w:bottom w:type="dxa" w:w="90"/>
              <w:right w:type="dxa" w:w="140"/>
            </w:tcMar>
            <w:vAlign w:val="center"/>
          </w:tcPr>
          <w:p>
            <w:pPr>
              <w:jc w:val="left"/>
            </w:pPr>
            <w:r>
              <w:rPr>
                <w:rFonts w:ascii="Calibri" w:cs="Calibri" w:eastAsia="Calibri" w:hAnsi="Calibri"/>
                <w:b/>
                <w:bCs/>
                <w:color w:val="C9A84C"/>
                <w:sz w:val="19"/>
                <w:szCs w:val="19"/>
              </w:rPr>
              <w:t xml:space="preserve">$500,000</w:t>
            </w:r>
          </w:p>
        </w:tc>
        <w:tc>
          <w:tcPr>
            <w:tcW w:type="dxa" w:w="3600"/>
            <w:tcBorders>
              <w:top w:val="single" w:color="CCCCCC" w:sz="1"/>
              <w:left w:val="single" w:color="CCCCCC" w:sz="1"/>
              <w:bottom w:val="single" w:color="CCCCCC" w:sz="1"/>
              <w:right w:val="single" w:color="CCCCCC" w:sz="1"/>
            </w:tcBorders>
            <w:shd w:fill="0D1B4B" w:val="clear"/>
            <w:tcMar>
              <w:top w:type="dxa" w:w="90"/>
              <w:left w:type="dxa" w:w="140"/>
              <w:bottom w:type="dxa" w:w="90"/>
              <w:right w:type="dxa" w:w="140"/>
            </w:tcMar>
            <w:vAlign w:val="center"/>
          </w:tcPr>
          <w:p>
            <w:pPr>
              <w:jc w:val="left"/>
            </w:pPr>
            <w:r>
              <w:rPr>
                <w:rFonts w:ascii="Calibri" w:cs="Calibri" w:eastAsia="Calibri" w:hAnsi="Calibri"/>
                <w:b/>
                <w:bCs/>
                <w:color w:val="C9A84C"/>
                <w:sz w:val="19"/>
                <w:szCs w:val="19"/>
              </w:rPr>
              <w:t xml:space="preserve">Profitable at Month 18 (5,000+ users)</w:t>
            </w:r>
          </w:p>
        </w:tc>
      </w:tr>
    </w:tbl>
    <w:p>
      <w:pPr>
        <w:spacing w:after="100" w:before="100"/>
      </w:pPr>
      <w:r>
        <w:rPr>
          <w:sz w:val="20"/>
          <w:szCs w:val="20"/>
        </w:rPr>
        <w:t xml:space="preserve"/>
      </w:r>
    </w:p>
    <w:p>
      <w:pPr>
        <w:spacing w:after="80" w:before="260"/>
      </w:pPr>
      <w:r>
        <w:rPr>
          <w:rFonts w:ascii="Calibri" w:cs="Calibri" w:eastAsia="Calibri" w:hAnsi="Calibri"/>
          <w:b/>
          <w:bCs/>
          <w:color w:val="2563EB"/>
          <w:sz w:val="26"/>
          <w:szCs w:val="26"/>
        </w:rPr>
        <w:t xml:space="preserve">7.1  18-Month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CCCCCC" w:sz="1"/>
              <w:left w:val="single" w:color="CCCCCC" w:sz="1"/>
              <w:bottom w:val="single" w:color="CCCCCC" w:sz="1"/>
              <w:right w:val="single" w:color="CCCCCC" w:sz="1"/>
            </w:tcBorders>
            <w:shd w:fill="0D1B4B" w:val="clear"/>
            <w:tcMar>
              <w:top w:type="dxa" w:w="60"/>
              <w:left w:type="dxa" w:w="120"/>
              <w:bottom w:type="dxa" w:w="60"/>
              <w:right w:type="dxa" w:w="120"/>
            </w:tcMar>
            <w:vAlign w:val="center"/>
          </w:tcPr>
          <w:p>
            <w:pPr>
              <w:jc w:val="center"/>
            </w:pPr>
            <w:r>
              <w:rPr>
                <w:rFonts w:ascii="Calibri" w:cs="Calibri" w:eastAsia="Calibri" w:hAnsi="Calibri"/>
                <w:b/>
                <w:bCs/>
                <w:color w:val="FFFFFF"/>
                <w:sz w:val="20"/>
                <w:szCs w:val="20"/>
              </w:rPr>
              <w:t xml:space="preserve"/>
            </w:r>
          </w:p>
        </w:tc>
        <w:tc>
          <w:tcPr>
            <w:tcW w:type="dxa" w:w="2600"/>
            <w:tcBorders>
              <w:top w:val="single" w:color="CCCCCC" w:sz="1"/>
              <w:left w:val="single" w:color="CCCCCC" w:sz="1"/>
              <w:bottom w:val="single" w:color="CCCCCC" w:sz="1"/>
              <w:right w:val="single" w:color="CCCCCC" w:sz="1"/>
            </w:tcBorders>
            <w:shd w:fill="0D1B4B" w:val="clear"/>
            <w:tcMar>
              <w:top w:type="dxa" w:w="60"/>
              <w:left w:type="dxa" w:w="120"/>
              <w:bottom w:type="dxa" w:w="60"/>
              <w:right w:type="dxa" w:w="120"/>
            </w:tcMar>
            <w:vAlign w:val="center"/>
          </w:tcPr>
          <w:p>
            <w:pPr>
              <w:jc w:val="center"/>
            </w:pPr>
            <w:r>
              <w:rPr>
                <w:rFonts w:ascii="Calibri" w:cs="Calibri" w:eastAsia="Calibri" w:hAnsi="Calibri"/>
                <w:b/>
                <w:bCs/>
                <w:color w:val="FFFFFF"/>
                <w:sz w:val="20"/>
                <w:szCs w:val="20"/>
              </w:rPr>
              <w:t xml:space="preserve">Months 1–6: Build</w:t>
            </w:r>
          </w:p>
        </w:tc>
        <w:tc>
          <w:tcPr>
            <w:tcW w:type="dxa" w:w="2600"/>
            <w:tcBorders>
              <w:top w:val="single" w:color="CCCCCC" w:sz="1"/>
              <w:left w:val="single" w:color="CCCCCC" w:sz="1"/>
              <w:bottom w:val="single" w:color="CCCCCC" w:sz="1"/>
              <w:right w:val="single" w:color="CCCCCC" w:sz="1"/>
            </w:tcBorders>
            <w:shd w:fill="0D1B4B" w:val="clear"/>
            <w:tcMar>
              <w:top w:type="dxa" w:w="60"/>
              <w:left w:type="dxa" w:w="120"/>
              <w:bottom w:type="dxa" w:w="60"/>
              <w:right w:type="dxa" w:w="120"/>
            </w:tcMar>
            <w:vAlign w:val="center"/>
          </w:tcPr>
          <w:p>
            <w:pPr>
              <w:jc w:val="center"/>
            </w:pPr>
            <w:r>
              <w:rPr>
                <w:rFonts w:ascii="Calibri" w:cs="Calibri" w:eastAsia="Calibri" w:hAnsi="Calibri"/>
                <w:b/>
                <w:bCs/>
                <w:color w:val="FFFFFF"/>
                <w:sz w:val="20"/>
                <w:szCs w:val="20"/>
              </w:rPr>
              <w:t xml:space="preserve">Months 7–12: Launch</w:t>
            </w:r>
          </w:p>
        </w:tc>
        <w:tc>
          <w:tcPr>
            <w:tcW w:type="dxa" w:w="2600"/>
            <w:tcBorders>
              <w:top w:val="single" w:color="CCCCCC" w:sz="1"/>
              <w:left w:val="single" w:color="CCCCCC" w:sz="1"/>
              <w:bottom w:val="single" w:color="CCCCCC" w:sz="1"/>
              <w:right w:val="single" w:color="CCCCCC" w:sz="1"/>
            </w:tcBorders>
            <w:shd w:fill="0D1B4B" w:val="clear"/>
            <w:tcMar>
              <w:top w:type="dxa" w:w="60"/>
              <w:left w:type="dxa" w:w="120"/>
              <w:bottom w:type="dxa" w:w="60"/>
              <w:right w:type="dxa" w:w="120"/>
            </w:tcMar>
            <w:vAlign w:val="center"/>
          </w:tcPr>
          <w:p>
            <w:pPr>
              <w:jc w:val="center"/>
            </w:pPr>
            <w:r>
              <w:rPr>
                <w:rFonts w:ascii="Calibri" w:cs="Calibri" w:eastAsia="Calibri" w:hAnsi="Calibri"/>
                <w:b/>
                <w:bCs/>
                <w:color w:val="FFFFFF"/>
                <w:sz w:val="20"/>
                <w:szCs w:val="20"/>
              </w:rPr>
              <w:t xml:space="preserve">Months 13–18: Scale</w:t>
            </w:r>
          </w:p>
        </w:tc>
      </w:tr>
      <w:tr>
        <w:tc>
          <w:tcPr>
            <w:tcW w:type="dxa" w:w="1560"/>
            <w:tcBorders>
              <w:top w:val="single" w:color="CCCCCC" w:sz="1"/>
              <w:left w:val="single" w:color="CCCCCC" w:sz="1"/>
              <w:bottom w:val="single" w:color="CCCCCC" w:sz="1"/>
              <w:right w:val="single" w:color="CCCCCC" w:sz="1"/>
            </w:tcBorders>
            <w:shd w:fill="0D1B4B" w:val="clear"/>
            <w:tcMar>
              <w:top w:type="dxa" w:w="90"/>
              <w:left w:type="dxa" w:w="140"/>
              <w:bottom w:type="dxa" w:w="90"/>
              <w:right w:type="dxa" w:w="140"/>
            </w:tcMar>
            <w:vAlign w:val="center"/>
          </w:tcPr>
          <w:p>
            <w:pPr>
              <w:jc w:val="left"/>
            </w:pPr>
            <w:r>
              <w:rPr>
                <w:rFonts w:ascii="Calibri" w:cs="Calibri" w:eastAsia="Calibri" w:hAnsi="Calibri"/>
                <w:b/>
                <w:bCs/>
                <w:color w:val="FFFFFF"/>
                <w:sz w:val="19"/>
                <w:szCs w:val="19"/>
              </w:rPr>
              <w:t xml:space="preserve">Focus</w:t>
            </w:r>
          </w:p>
        </w:tc>
        <w:tc>
          <w:tcPr>
            <w:tcW w:type="dxa" w:w="2600"/>
            <w:tcBorders>
              <w:top w:val="single" w:color="CCCCCC" w:sz="1"/>
              <w:left w:val="single" w:color="CCCCCC" w:sz="1"/>
              <w:bottom w:val="single" w:color="CCCCCC" w:sz="1"/>
              <w:right w:val="single" w:color="CCCCCC" w:sz="1"/>
            </w:tcBorders>
            <w:shd w:fill="E8EEF9"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App development, partner integrations, regulatory approval, beta testing</w:t>
            </w:r>
          </w:p>
        </w:tc>
        <w:tc>
          <w:tcPr>
            <w:tcW w:type="dxa" w:w="2600"/>
            <w:tcBorders>
              <w:top w:val="single" w:color="CCCCCC" w:sz="1"/>
              <w:left w:val="single" w:color="CCCCCC" w:sz="1"/>
              <w:bottom w:val="single" w:color="CCCCCC" w:sz="1"/>
              <w:right w:val="single" w:color="CCCCCC" w:sz="1"/>
            </w:tcBorders>
            <w:shd w:fill="E8EEF9"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Public launch in Jamaica. First 2,000 users. Physical card rollout.</w:t>
            </w:r>
          </w:p>
        </w:tc>
        <w:tc>
          <w:tcPr>
            <w:tcW w:type="dxa" w:w="2600"/>
            <w:tcBorders>
              <w:top w:val="single" w:color="CCCCCC" w:sz="1"/>
              <w:left w:val="single" w:color="CCCCCC" w:sz="1"/>
              <w:bottom w:val="single" w:color="CCCCCC" w:sz="1"/>
              <w:right w:val="single" w:color="CCCCCC" w:sz="1"/>
            </w:tcBorders>
            <w:shd w:fill="E8EEF9"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Expand to Trinidad and Barbados. 5,000+ users. Reach breakeven.</w:t>
            </w:r>
          </w:p>
        </w:tc>
      </w:tr>
      <w:tr>
        <w:tc>
          <w:tcPr>
            <w:tcW w:type="dxa" w:w="1560"/>
            <w:tcBorders>
              <w:top w:val="single" w:color="CCCCCC" w:sz="1"/>
              <w:left w:val="single" w:color="CCCCCC" w:sz="1"/>
              <w:bottom w:val="single" w:color="CCCCCC" w:sz="1"/>
              <w:right w:val="single" w:color="CCCCCC" w:sz="1"/>
            </w:tcBorders>
            <w:shd w:fill="0D1B4B" w:val="clear"/>
            <w:tcMar>
              <w:top w:type="dxa" w:w="90"/>
              <w:left w:type="dxa" w:w="140"/>
              <w:bottom w:type="dxa" w:w="90"/>
              <w:right w:type="dxa" w:w="140"/>
            </w:tcMar>
            <w:vAlign w:val="center"/>
          </w:tcPr>
          <w:p>
            <w:pPr>
              <w:jc w:val="left"/>
            </w:pPr>
            <w:r>
              <w:rPr>
                <w:rFonts w:ascii="Calibri" w:cs="Calibri" w:eastAsia="Calibri" w:hAnsi="Calibri"/>
                <w:b/>
                <w:bCs/>
                <w:color w:val="FFFFFF"/>
                <w:sz w:val="19"/>
                <w:szCs w:val="19"/>
              </w:rPr>
              <w:t xml:space="preserve">Milestone</w:t>
            </w:r>
          </w:p>
        </w:tc>
        <w:tc>
          <w:tcPr>
            <w:tcW w:type="dxa" w:w="2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Virtual card programme live. BOJ approval received.</w:t>
            </w:r>
          </w:p>
        </w:tc>
        <w:tc>
          <w:tcPr>
            <w:tcW w:type="dxa" w:w="2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2,000 active cardholders. First interchange revenue.</w:t>
            </w:r>
          </w:p>
        </w:tc>
        <w:tc>
          <w:tcPr>
            <w:tcW w:type="dxa" w:w="2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Profitability achieved. Series A preparation begins.</w:t>
            </w:r>
          </w:p>
        </w:tc>
      </w:tr>
    </w:tbl>
    <w:p>
      <w:r>
        <w:br w:type="page"/>
      </w:r>
    </w:p>
    <w:p>
      <w:pPr>
        <w:pBdr>
          <w:bottom w:val="single" w:color="C9A84C" w:sz="8" w:space="4"/>
        </w:pBdr>
        <w:spacing w:after="160" w:before="400"/>
      </w:pPr>
      <w:r>
        <w:rPr>
          <w:rFonts w:ascii="Calibri" w:cs="Calibri" w:eastAsia="Calibri" w:hAnsi="Calibri"/>
          <w:b/>
          <w:bCs/>
          <w:color w:val="0D1B4B"/>
          <w:sz w:val="36"/>
          <w:szCs w:val="36"/>
        </w:rPr>
        <w:t xml:space="preserve">8. Why Kin Wins</w:t>
      </w:r>
    </w:p>
    <w:p>
      <w:pPr>
        <w:spacing w:after="100" w:before="10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0D1B4B" w:val="clear"/>
            <w:tcMar>
              <w:top w:type="dxa" w:w="60"/>
              <w:left w:type="dxa" w:w="120"/>
              <w:bottom w:type="dxa" w:w="60"/>
              <w:right w:type="dxa" w:w="120"/>
            </w:tcMar>
            <w:vAlign w:val="center"/>
          </w:tcPr>
          <w:p>
            <w:pPr>
              <w:jc w:val="center"/>
            </w:pPr>
            <w:r>
              <w:rPr>
                <w:rFonts w:ascii="Calibri" w:cs="Calibri" w:eastAsia="Calibri" w:hAnsi="Calibri"/>
                <w:b/>
                <w:bCs/>
                <w:color w:val="FFFFFF"/>
                <w:sz w:val="20"/>
                <w:szCs w:val="20"/>
              </w:rPr>
              <w:t xml:space="preserve">Competitive Advantage</w:t>
            </w:r>
          </w:p>
        </w:tc>
        <w:tc>
          <w:tcPr>
            <w:tcW w:type="dxa" w:w="6240"/>
            <w:tcBorders>
              <w:top w:val="single" w:color="CCCCCC" w:sz="1"/>
              <w:left w:val="single" w:color="CCCCCC" w:sz="1"/>
              <w:bottom w:val="single" w:color="CCCCCC" w:sz="1"/>
              <w:right w:val="single" w:color="CCCCCC" w:sz="1"/>
            </w:tcBorders>
            <w:shd w:fill="0D1B4B" w:val="clear"/>
            <w:tcMar>
              <w:top w:type="dxa" w:w="60"/>
              <w:left w:type="dxa" w:w="120"/>
              <w:bottom w:type="dxa" w:w="60"/>
              <w:right w:type="dxa" w:w="120"/>
            </w:tcMar>
            <w:vAlign w:val="center"/>
          </w:tcPr>
          <w:p>
            <w:pPr>
              <w:jc w:val="center"/>
            </w:pPr>
            <w:r>
              <w:rPr>
                <w:rFonts w:ascii="Calibri" w:cs="Calibri" w:eastAsia="Calibri" w:hAnsi="Calibri"/>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E8EEF9" w:val="clear"/>
            <w:tcMar>
              <w:top w:type="dxa" w:w="90"/>
              <w:left w:type="dxa" w:w="140"/>
              <w:bottom w:type="dxa" w:w="90"/>
              <w:right w:type="dxa" w:w="140"/>
            </w:tcMar>
            <w:vAlign w:val="center"/>
          </w:tcPr>
          <w:p>
            <w:pPr>
              <w:jc w:val="left"/>
            </w:pPr>
            <w:r>
              <w:rPr>
                <w:rFonts w:ascii="Calibri" w:cs="Calibri" w:eastAsia="Calibri" w:hAnsi="Calibri"/>
                <w:b/>
                <w:bCs/>
                <w:color w:val="111111"/>
                <w:sz w:val="19"/>
                <w:szCs w:val="19"/>
              </w:rPr>
              <w:t xml:space="preserve">First mover in stablecoin banking</w:t>
            </w:r>
          </w:p>
        </w:tc>
        <w:tc>
          <w:tcPr>
            <w:tcW w:type="dxa" w:w="6240"/>
            <w:tcBorders>
              <w:top w:val="single" w:color="CCCCCC" w:sz="1"/>
              <w:left w:val="single" w:color="CCCCCC" w:sz="1"/>
              <w:bottom w:val="single" w:color="CCCCCC" w:sz="1"/>
              <w:right w:val="single" w:color="CCCCCC" w:sz="1"/>
            </w:tcBorders>
            <w:shd w:fill="E8EEF9"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No Caribbean neobank currently offers a stablecoin-backed debit card. Kin enters a category it can define and own.</w:t>
            </w:r>
          </w:p>
        </w:tc>
      </w:tr>
      <w:tr>
        <w:tc>
          <w:tcPr>
            <w:tcW w:type="dxa" w:w="312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bCs/>
                <w:color w:val="111111"/>
                <w:sz w:val="19"/>
                <w:szCs w:val="19"/>
              </w:rPr>
              <w:t xml:space="preserve">Multi-currency Caribbean solved</w:t>
            </w:r>
          </w:p>
        </w:tc>
        <w:tc>
          <w:tcPr>
            <w:tcW w:type="dxa" w:w="624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USDC as a universal base eliminates the number one operational headache of Caribbean fintech — fragmented fiat rails across territories.</w:t>
            </w:r>
          </w:p>
        </w:tc>
      </w:tr>
      <w:tr>
        <w:tc>
          <w:tcPr>
            <w:tcW w:type="dxa" w:w="3120"/>
            <w:tcBorders>
              <w:top w:val="single" w:color="CCCCCC" w:sz="1"/>
              <w:left w:val="single" w:color="CCCCCC" w:sz="1"/>
              <w:bottom w:val="single" w:color="CCCCCC" w:sz="1"/>
              <w:right w:val="single" w:color="CCCCCC" w:sz="1"/>
            </w:tcBorders>
            <w:shd w:fill="E8EEF9" w:val="clear"/>
            <w:tcMar>
              <w:top w:type="dxa" w:w="90"/>
              <w:left w:type="dxa" w:w="140"/>
              <w:bottom w:type="dxa" w:w="90"/>
              <w:right w:type="dxa" w:w="140"/>
            </w:tcMar>
            <w:vAlign w:val="center"/>
          </w:tcPr>
          <w:p>
            <w:pPr>
              <w:jc w:val="left"/>
            </w:pPr>
            <w:r>
              <w:rPr>
                <w:rFonts w:ascii="Calibri" w:cs="Calibri" w:eastAsia="Calibri" w:hAnsi="Calibri"/>
                <w:b/>
                <w:bCs/>
                <w:color w:val="111111"/>
                <w:sz w:val="19"/>
                <w:szCs w:val="19"/>
              </w:rPr>
              <w:t xml:space="preserve">35–55% lower launch cost</w:t>
            </w:r>
          </w:p>
        </w:tc>
        <w:tc>
          <w:tcPr>
            <w:tcW w:type="dxa" w:w="6240"/>
            <w:tcBorders>
              <w:top w:val="single" w:color="CCCCCC" w:sz="1"/>
              <w:left w:val="single" w:color="CCCCCC" w:sz="1"/>
              <w:bottom w:val="single" w:color="CCCCCC" w:sz="1"/>
              <w:right w:val="single" w:color="CCCCCC" w:sz="1"/>
            </w:tcBorders>
            <w:shd w:fill="E8EEF9"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Stablecoin route dramatically reduces setup costs vs traditional fiat rails. Lower breakeven means faster profitability with less capital at risk.</w:t>
            </w:r>
          </w:p>
        </w:tc>
      </w:tr>
      <w:tr>
        <w:tc>
          <w:tcPr>
            <w:tcW w:type="dxa" w:w="312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bCs/>
                <w:color w:val="111111"/>
                <w:sz w:val="19"/>
                <w:szCs w:val="19"/>
              </w:rPr>
              <w:t xml:space="preserve">Remittance corridor revenue</w:t>
            </w:r>
          </w:p>
        </w:tc>
        <w:tc>
          <w:tcPr>
            <w:tcW w:type="dxa" w:w="624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Jamaica receives $3.5B in remittances annually. A flat $2–$5 Kin transfer fee vs Western Union's 5–8% is a compelling market disruption.</w:t>
            </w:r>
          </w:p>
        </w:tc>
      </w:tr>
      <w:tr>
        <w:tc>
          <w:tcPr>
            <w:tcW w:type="dxa" w:w="3120"/>
            <w:tcBorders>
              <w:top w:val="single" w:color="CCCCCC" w:sz="1"/>
              <w:left w:val="single" w:color="CCCCCC" w:sz="1"/>
              <w:bottom w:val="single" w:color="CCCCCC" w:sz="1"/>
              <w:right w:val="single" w:color="CCCCCC" w:sz="1"/>
            </w:tcBorders>
            <w:shd w:fill="E8EEF9" w:val="clear"/>
            <w:tcMar>
              <w:top w:type="dxa" w:w="90"/>
              <w:left w:type="dxa" w:w="140"/>
              <w:bottom w:type="dxa" w:w="90"/>
              <w:right w:type="dxa" w:w="140"/>
            </w:tcMar>
            <w:vAlign w:val="center"/>
          </w:tcPr>
          <w:p>
            <w:pPr>
              <w:jc w:val="left"/>
            </w:pPr>
            <w:r>
              <w:rPr>
                <w:rFonts w:ascii="Calibri" w:cs="Calibri" w:eastAsia="Calibri" w:hAnsi="Calibri"/>
                <w:b/>
                <w:bCs/>
                <w:color w:val="111111"/>
                <w:sz w:val="19"/>
                <w:szCs w:val="19"/>
              </w:rPr>
              <w:t xml:space="preserve">Passive yield revenue</w:t>
            </w:r>
          </w:p>
        </w:tc>
        <w:tc>
          <w:tcPr>
            <w:tcW w:type="dxa" w:w="6240"/>
            <w:tcBorders>
              <w:top w:val="single" w:color="CCCCCC" w:sz="1"/>
              <w:left w:val="single" w:color="CCCCCC" w:sz="1"/>
              <w:bottom w:val="single" w:color="CCCCCC" w:sz="1"/>
              <w:right w:val="single" w:color="CCCCCC" w:sz="1"/>
            </w:tcBorders>
            <w:shd w:fill="E8EEF9"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4% APY on USDC user float is invisible to users and has zero marginal cost. At 50,000 users with $200 average balance, this is $400,000/year.</w:t>
            </w:r>
          </w:p>
        </w:tc>
      </w:tr>
      <w:tr>
        <w:tc>
          <w:tcPr>
            <w:tcW w:type="dxa" w:w="312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bCs/>
                <w:color w:val="111111"/>
                <w:sz w:val="19"/>
                <w:szCs w:val="19"/>
              </w:rPr>
              <w:t xml:space="preserve">Regulatory timing</w:t>
            </w:r>
          </w:p>
        </w:tc>
        <w:tc>
          <w:tcPr>
            <w:tcW w:type="dxa" w:w="624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jc w:val="left"/>
            </w:pPr>
            <w:r>
              <w:rPr>
                <w:rFonts w:ascii="Calibri" w:cs="Calibri" w:eastAsia="Calibri" w:hAnsi="Calibri"/>
                <w:b w:val="false"/>
                <w:bCs w:val="false"/>
                <w:color w:val="111111"/>
                <w:sz w:val="19"/>
                <w:szCs w:val="19"/>
              </w:rPr>
              <w:t xml:space="preserve">The GENIUS Act (US, 2025) and emerging Caribbean frameworks create a clear, regulated foundation for a stablecoin banking product today.</w:t>
            </w:r>
          </w:p>
        </w:tc>
      </w:tr>
    </w:tbl>
    <w:p>
      <w:pPr>
        <w:spacing w:after="100" w:before="100"/>
      </w:pPr>
      <w:r>
        <w:rPr>
          <w:sz w:val="20"/>
          <w:szCs w:val="20"/>
        </w:rPr>
        <w:t xml:space="preserve"/>
      </w:r>
    </w:p>
    <w:p>
      <w:pPr>
        <w:pBdr>
          <w:left w:val="single" w:color="C9A84C" w:sz="18" w:space="8"/>
        </w:pBdr>
        <w:shd w:fill="FDF3DC" w:val="clear"/>
        <w:spacing w:after="140" w:before="140"/>
      </w:pPr>
      <w:r>
        <w:rPr>
          <w:rFonts w:ascii="Calibri" w:cs="Calibri" w:eastAsia="Calibri" w:hAnsi="Calibri"/>
          <w:i/>
          <w:iCs/>
          <w:color w:val="0D1B4B"/>
          <w:sz w:val="20"/>
          <w:szCs w:val="20"/>
        </w:rPr>
        <w:t xml:space="preserve">Kin is not a cryptocurrency product. It is a modern bank account and debit card that uses stablecoin infrastructure to be faster, cheaper, and more profitable than any traditional competitor in our market.</w:t>
      </w:r>
    </w:p>
    <w:p>
      <w:pPr>
        <w:spacing w:after="100" w:before="100"/>
      </w:pPr>
      <w:r>
        <w:rPr>
          <w:sz w:val="20"/>
          <w:szCs w:val="20"/>
        </w:rPr>
        <w:t xml:space="preserve"/>
      </w:r>
    </w:p>
    <w:p>
      <w:pPr>
        <w:spacing w:after="80" w:before="260"/>
      </w:pPr>
      <w:r>
        <w:rPr>
          <w:rFonts w:ascii="Calibri" w:cs="Calibri" w:eastAsia="Calibri" w:hAnsi="Calibri"/>
          <w:b/>
          <w:bCs/>
          <w:color w:val="2563EB"/>
          <w:sz w:val="26"/>
          <w:szCs w:val="26"/>
        </w:rPr>
        <w:t xml:space="preserve">Contact &amp; Next Steps</w:t>
      </w:r>
    </w:p>
    <w:p>
      <w:pPr>
        <w:spacing w:after="60" w:before="60"/>
      </w:pPr>
      <w:r>
        <w:rPr>
          <w:rFonts w:ascii="Calibri" w:cs="Calibri" w:eastAsia="Calibri" w:hAnsi="Calibri"/>
          <w:b w:val="false"/>
          <w:bCs w:val="false"/>
          <w:color w:val="111111"/>
          <w:sz w:val="20"/>
          <w:szCs w:val="20"/>
        </w:rPr>
        <w:t xml:space="preserve">To discuss investment terms, due diligence materials, or partnership opportunities, please contact the Kin founding team. We welcome conversations with angel investors, family offices, Caribbean-focused funds, and strategic fintech partners.</w:t>
      </w:r>
    </w:p>
    <w:p>
      <w:pPr>
        <w:spacing w:after="60" w:before="60"/>
      </w:pPr>
      <w:r>
        <w:rPr>
          <w:sz w:val="20"/>
          <w:szCs w:val="20"/>
        </w:rPr>
        <w:t xml:space="preserve"/>
      </w:r>
    </w:p>
    <w:p>
      <w:pPr>
        <w:spacing w:after="60" w:before="60"/>
      </w:pPr>
      <w:r>
        <w:rPr>
          <w:rFonts w:ascii="Calibri" w:cs="Calibri" w:eastAsia="Calibri" w:hAnsi="Calibri"/>
          <w:b w:val="false"/>
          <w:bCs w:val="false"/>
          <w:color w:val="555555"/>
          <w:sz w:val="20"/>
          <w:szCs w:val="20"/>
        </w:rPr>
        <w:t xml:space="preserve">This document contains forward-looking projections based on market benchmarks and modelled assumptions. Actual results may vary. This document does not constitute a prospectus or regulated financial advice.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pPr>
    <w:r>
      <w:rPr>
        <w:rFonts w:ascii="Calibri" w:cs="Calibri" w:eastAsia="Calibri" w:hAnsi="Calibri"/>
        <w:color w:val="555555"/>
        <w:sz w:val="16"/>
        <w:szCs w:val="16"/>
      </w:rPr>
      <w:t xml:space="preserve">Kin Smart Banking Ltd  ·  May 2026</w:t>
    </w:r>
    <w:r>
      <w:rPr>
        <w:rFonts w:ascii="Calibri" w:cs="Calibri" w:eastAsia="Calibri" w:hAnsi="Calibri"/>
        <w:color w:val="555555"/>
        <w:sz w:val="16"/>
        <w:szCs w:val="16"/>
      </w:rPr>
      <w:t xml:space="preserve">	Page </w:t>
    </w:r>
    <w:fldSimple w:instr="PAGE"/>
    <w:r>
      <w:rPr>
        <w:rFonts w:ascii="Calibri" w:cs="Calibri" w:eastAsia="Calibri" w:hAnsi="Calibri"/>
        <w:color w:val="555555"/>
        <w:sz w:val="16"/>
        <w:szCs w:val="16"/>
      </w:rPr>
      <w:t xml:space="preserve"> of </w:t>
    </w:r>
    <w:fldSimple w:instr="NUMPAGES"/>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6" w:space="4"/>
      </w:pBdr>
      <w:tabs>
        <w:tab w:val="right" w:pos="9360"/>
      </w:tabs>
    </w:pPr>
    <w:r>
      <w:rPr>
        <w:rFonts w:ascii="Calibri" w:cs="Calibri" w:eastAsia="Calibri" w:hAnsi="Calibri"/>
        <w:b/>
        <w:bCs/>
        <w:color w:val="0D1B4B"/>
        <w:sz w:val="18"/>
        <w:szCs w:val="18"/>
      </w:rPr>
      <w:t xml:space="preserve">KIN — Investor Briefing Document</w:t>
    </w:r>
    <w:r>
      <w:rPr>
        <w:rFonts w:ascii="Calibri" w:cs="Calibri" w:eastAsia="Calibri" w:hAnsi="Calibri"/>
        <w:color w:val="555555"/>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Kin — Investor Briefing Document</dc:title>
  <dc:creator>Kin Smart Banking</dc:creator>
  <dc:description>Stablecoin-Powered Debit Card Programme — Jamaica &amp; Caribbean</dc:description>
  <cp:lastModifiedBy>Un-named</cp:lastModifiedBy>
  <cp:revision>1</cp:revision>
  <dcterms:created xsi:type="dcterms:W3CDTF">2026-07-02T09:46:50.241Z</dcterms:created>
  <dcterms:modified xsi:type="dcterms:W3CDTF">2026-07-02T09:46:50.254Z</dcterms:modified>
</cp:coreProperties>
</file>

<file path=docProps/custom.xml><?xml version="1.0" encoding="utf-8"?>
<Properties xmlns="http://schemas.openxmlformats.org/officeDocument/2006/custom-properties" xmlns:vt="http://schemas.openxmlformats.org/officeDocument/2006/docPropsVTypes"/>
</file>