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Knowledge injection at training time. Training set obtained via random decostruction of 100 solutions. No propagation at test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Model agnostic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sbr: SBR-inspired loss function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conf: model trained using binary cross-entropy and confidences scores as labels.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Models whose results are used for this plot.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ax1-agn: run-2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ax1-sbr: run-1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ax1-conf: run-1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ax2-agn: run-2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ax2-sbr: run-1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ax2-conf: run-1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