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- 2026-08-28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2026-08-29，观察日 2026-08-31（下一交易日）。以下仅为技术观察池，不构成投资建议。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3952.18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-0.11%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13953.07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-0.68%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3424.40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-1.41%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5211 只：上涨 2796，下跌 2269，平盘 146；涨停（按各板块涨跌幅限制口径）82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优先观察（5 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换手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技术结构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观察要点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002490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山东墨龙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8.42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+4.21%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11.50%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站上5/10/20日线、MACD在0轴上方、KDJ金叉。次日不追高，等回踩8.20/8.04附近不破并转强，可短线关注。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002628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成都路桥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5.48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+3.79%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12.68%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站上5/10/20日线、MACD在0轴上方、KDJ拐头。次日不追高，等回踩5.03/4.99附近不破并转强，可短线关注。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002506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协鑫集成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2.79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+3.33%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5.21%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站上5/10/20日线、MACD在0轴上方、KDJ拐头。次日不追高，等回踩2.75/2.69附近不破并转强，可短线关注。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600183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生益科技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145.65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+3.32%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4.09%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站上5/10/20日线、MACD在0轴上方、KDJ拐头。次日不追高，等回踩134.39/134.04附近不破并转强，可短线关注。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003043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华亚智能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82.75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+3.27%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8.06%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站上5/10/20日线、MACD在0轴上方、KDJ拐头。次日不追高，等回踩77.49/75.62附近不破并转强，可短线关注。</w:t>
            </w:r>
          </w:p>
        </w:tc>
      </w:tr>
    </w:tbl>
    <w:p/>
    <w:p>
      <w:pPr>
        <w:pStyle w:val="Heading1"/>
      </w:pPr>
      <w:r>
        <w:t>强势但不宜追高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风险点 / 处理方式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600815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厦工股份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4.46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+10.12%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风险点：接近涨停，次日容易分歧。处理方式：只等回踩4.02/3.99附近不破再看，不追高。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000059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华锦股份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5.57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+10.08%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风险点：接近涨停，次日容易分歧；KDJ J值101偏高。处理方式：只等回踩4.97/4.87附近不破再看，不追高。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600354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敦煌种业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8.21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+10.05%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风险点：接近涨停，次日容易分歧；5日涨幅27.7%偏快；KDJ J值103偏高。处理方式：只等回踩7.28/6.99附近不破再看，不追高。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002915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中欣氟材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18.87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+10.03%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风险点：接近涨停，次日容易分歧。处理方式：只等回踩17.22/17.28附近不破再看，不追高。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002229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鸿博股份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12.29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+10.03%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风险点：接近涨停，次日容易分歧。处理方式：只等回踩11.20/11.55附近不破再看，不追高。</w:t>
            </w:r>
          </w:p>
        </w:tc>
      </w:tr>
    </w:tbl>
    <w:p/>
    <w:p>
      <w:pPr>
        <w:pStyle w:val="Heading1"/>
      </w:pPr>
      <w:r>
        <w:t>剔除或降级观察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000636 风华高科：未站上20日线；MACD未在0轴上方且未金叉/柱体改善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002407 多氟多：MACD未在0轴上方且未金叉/柱体改善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002156 通富微电：KDJ无金叉且未拐头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000338 潍柴动力：未站上20日线；MACD未在0轴上方且未金叉/柱体改善；KDJ无金叉且未拐头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601212 白银有色：KDJ无金叉且未拐头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603186 华正新材：KDJ无金叉且未拐头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300620 光库科技：KDJ无金叉且未拐头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002716 湖南白银：KDJ无金叉且未拐头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688205 德科立：KDJ无金叉且未拐头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301171 易点天下：未站上20日线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本地缓存；数据日期：2026-08-28；运行时间：2026-08-29。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