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- 2026-09-16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2026-09-16，观察日 2026-09-17（下一交易日）。以下仅为技术观察池，不构成投资建议。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3891.60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+0.71%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8711.4亿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13454.74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+1.26%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9679.8亿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3311.47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+1.96%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4649.7亿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5219 只：上涨 3888，下跌 1133，平盘 198；涨停（按各板块涨跌幅限制口径）92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优先观察（3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000070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特发信息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17.23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+3.11%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10.93%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站上5/10/20日线、MACD在0轴上方、KDJ金叉。次日不追高，等回踩16.80/16.50附近不破并转强，可短线关注。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603888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新华网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17.79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+2.36%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4.13%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站上5/10/20日线、MACD在0轴上方、KDJ金叉。次日不追高，等回踩17.16/17.02附近不破并转强，可短线关注。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603306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华懋科技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80.82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+4.51%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3.97%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站上5/10/20日线、MACD在0轴上方、KDJ拐头。次日不追高，等回踩77.77/76.38附近不破并转强，可短线关注。 J值91偏高，注意节奏。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002303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美盈森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5.79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+10.08%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风险点：接近涨停，次日容易分歧。处理方式：只等回踩5.33/5.35附近不破再看，不追高。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002137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实益达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8.20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+10.07%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风险点：接近涨停，次日容易分歧。处理方式：只等回踩7.64/7.69附近不破再看，不追高。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002617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露笑科技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7.02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+10.03%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风险点：接近涨停，次日容易分歧。处理方式：只等回踩6.59/6.42附近不破再看，不追高。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600059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古越龙山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9.77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风险点：接近涨停，次日容易分歧。处理方式：只等回踩8.96/8.95附近不破再看，不追高。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002584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西陇科学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9.55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J值107偏高。处理方式：只等回踩8.37/8.23附近不破再看，不追高。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603986 兆易创新：未站上20日线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603186 华正新材：KDJ无金叉且未拐头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002436 兴森科技：KDJ无金叉且未拐头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002428 云南锗业：MACD未在0轴上方且未金叉/柱体改善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603083 剑桥科技：KDJ无金叉且未拐头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600584 长电科技：未站上20日线；MACD未在0轴上方且未金叉/柱体改善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000977 浪潮信息：未站上20日线；MACD未在0轴上方且未金叉/柱体改善；KDJ无金叉且未拐头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000823 超声电子：KDJ无金叉且未拐头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001309 德明利：未站上20日线；KDJ无金叉且未拐头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000938 紫光股份：未站上20日线；MACD未在0轴上方且未金叉/柱体改善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本地缓存；数据日期：2026-09-16；运行时间：2026-09-16。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