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Microsoft YaHei" w:hAnsi="Microsoft YaHei" w:eastAsia="Microsoft YaHei"/>
          <w:b/>
          <w:color w:val="1F4D78"/>
          <w:sz w:val="36"/>
        </w:rPr>
        <w:t>A股短线候选观察清单 - 2026-09-08</w:t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5A5A5A"/>
          <w:sz w:val="18"/>
        </w:rPr>
        <w:t>数据口径：东方财富公开行情接口（新浪日K兜底）+ 本地缓存。报送日期 2026-09-08，观察日 2026-09-09（下一交易日）。以下仅为技术观察池，不构成投资建议。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fill="F2F4F7"/>
          </w:tcPr>
          <w:p>
            <w:r/>
            <w:r>
              <w:rPr>
                <w:rFonts w:ascii="Microsoft YaHei" w:hAnsi="Microsoft YaHei" w:eastAsia="Microsoft YaHei"/>
                <w:b/>
              </w:rPr>
              <w:t>指数</w:t>
            </w:r>
          </w:p>
        </w:tc>
        <w:tc>
          <w:tcPr>
            <w:tcW w:type="dxa" w:w="2412"/>
            <w:shd w:fill="F2F4F7"/>
          </w:tcPr>
          <w:p>
            <w:r/>
            <w:r>
              <w:rPr>
                <w:rFonts w:ascii="Microsoft YaHei" w:hAnsi="Microsoft YaHei" w:eastAsia="Microsoft YaHei"/>
                <w:b/>
              </w:rPr>
              <w:t>收盘</w:t>
            </w:r>
          </w:p>
        </w:tc>
        <w:tc>
          <w:tcPr>
            <w:tcW w:type="dxa" w:w="2412"/>
            <w:shd w:fill="F2F4F7"/>
          </w:tcPr>
          <w:p>
            <w:r/>
            <w:r>
              <w:rPr>
                <w:rFonts w:ascii="Microsoft YaHei" w:hAnsi="Microsoft YaHei" w:eastAsia="Microsoft YaHei"/>
                <w:b/>
              </w:rPr>
              <w:t>涨跌幅</w:t>
            </w:r>
          </w:p>
        </w:tc>
        <w:tc>
          <w:tcPr>
            <w:tcW w:type="dxa" w:w="2412"/>
            <w:shd w:fill="F2F4F7"/>
          </w:tcPr>
          <w:p>
            <w:r/>
            <w:r>
              <w:rPr>
                <w:rFonts w:ascii="Microsoft YaHei" w:hAnsi="Microsoft YaHei" w:eastAsia="Microsoft YaHei"/>
                <w:b/>
              </w:rPr>
              <w:t>成交额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上证指数</w:t>
            </w:r>
          </w:p>
        </w:tc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3940.55</w:t>
            </w:r>
          </w:p>
        </w:tc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+0.20%</w:t>
            </w:r>
          </w:p>
        </w:tc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—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深证成指</w:t>
            </w:r>
          </w:p>
        </w:tc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13703.21</w:t>
            </w:r>
          </w:p>
        </w:tc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-0.52%</w:t>
            </w:r>
          </w:p>
        </w:tc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—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创业板指</w:t>
            </w:r>
          </w:p>
        </w:tc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3359.72</w:t>
            </w:r>
          </w:p>
        </w:tc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-1.15%</w:t>
            </w:r>
          </w:p>
        </w:tc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—</w:t>
            </w:r>
          </w:p>
        </w:tc>
      </w:tr>
    </w:tbl>
    <w:p/>
    <w:p>
      <w:r>
        <w:rPr>
          <w:rFonts w:ascii="Microsoft YaHei" w:hAnsi="Microsoft YaHei" w:eastAsia="Microsoft YaHei"/>
          <w:b w:val="0"/>
        </w:rPr>
        <w:t>全市场 5215 只：上涨 3257，下跌 1858，平盘 100；涨停（按各板块涨跌幅限制口径）74 只。</w:t>
      </w:r>
    </w:p>
    <w:p>
      <w:pPr>
        <w:pStyle w:val="Heading2"/>
      </w:pPr>
      <w:r>
        <w:t>筛选逻辑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非 ST，剔除新股/退市风险标的（上市不足 60 个交易日）。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今日收红。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成交额大于 5 亿元，换手率大于 3%。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收盘站上 20 日线，优先 5 日线大于 10 日线。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MACD 黄白线在 0 轴上方，或 MACD 金叉/柱体改善。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KDJ 金叉或低中位拐头，但不过热（J ≤ 95）。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近 5 日涨幅 ≤ 25%、10 日涨幅 ≤ 40%，涨停或接近涨停的票只列为“等回踩”。</w:t>
      </w:r>
    </w:p>
    <w:p>
      <w:pPr>
        <w:pStyle w:val="Heading1"/>
      </w:pPr>
      <w:r>
        <w:t>优先观察（3 只）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78"/>
        <w:gridCol w:w="1378"/>
        <w:gridCol w:w="1378"/>
        <w:gridCol w:w="1378"/>
        <w:gridCol w:w="1378"/>
        <w:gridCol w:w="1378"/>
        <w:gridCol w:w="1378"/>
      </w:tblGrid>
      <w:tr>
        <w:tc>
          <w:tcPr>
            <w:tcW w:type="dxa" w:w="1378"/>
            <w:shd w:fill="F2F4F7"/>
          </w:tcPr>
          <w:p>
            <w:r/>
            <w:r>
              <w:rPr>
                <w:rFonts w:ascii="Microsoft YaHei" w:hAnsi="Microsoft YaHei" w:eastAsia="Microsoft YaHei"/>
                <w:b/>
              </w:rPr>
              <w:t>代码</w:t>
            </w:r>
          </w:p>
        </w:tc>
        <w:tc>
          <w:tcPr>
            <w:tcW w:type="dxa" w:w="1378"/>
            <w:shd w:fill="F2F4F7"/>
          </w:tcPr>
          <w:p>
            <w:r/>
            <w:r>
              <w:rPr>
                <w:rFonts w:ascii="Microsoft YaHei" w:hAnsi="Microsoft YaHei" w:eastAsia="Microsoft YaHei"/>
                <w:b/>
              </w:rPr>
              <w:t>名称</w:t>
            </w:r>
          </w:p>
        </w:tc>
        <w:tc>
          <w:tcPr>
            <w:tcW w:type="dxa" w:w="1378"/>
            <w:shd w:fill="F2F4F7"/>
          </w:tcPr>
          <w:p>
            <w:r/>
            <w:r>
              <w:rPr>
                <w:rFonts w:ascii="Microsoft YaHei" w:hAnsi="Microsoft YaHei" w:eastAsia="Microsoft YaHei"/>
                <w:b/>
              </w:rPr>
              <w:t>收盘</w:t>
            </w:r>
          </w:p>
        </w:tc>
        <w:tc>
          <w:tcPr>
            <w:tcW w:type="dxa" w:w="1378"/>
            <w:shd w:fill="F2F4F7"/>
          </w:tcPr>
          <w:p>
            <w:r/>
            <w:r>
              <w:rPr>
                <w:rFonts w:ascii="Microsoft YaHei" w:hAnsi="Microsoft YaHei" w:eastAsia="Microsoft YaHei"/>
                <w:b/>
              </w:rPr>
              <w:t>涨幅</w:t>
            </w:r>
          </w:p>
        </w:tc>
        <w:tc>
          <w:tcPr>
            <w:tcW w:type="dxa" w:w="1378"/>
            <w:shd w:fill="F2F4F7"/>
          </w:tcPr>
          <w:p>
            <w:r/>
            <w:r>
              <w:rPr>
                <w:rFonts w:ascii="Microsoft YaHei" w:hAnsi="Microsoft YaHei" w:eastAsia="Microsoft YaHei"/>
                <w:b/>
              </w:rPr>
              <w:t>换手</w:t>
            </w:r>
          </w:p>
        </w:tc>
        <w:tc>
          <w:tcPr>
            <w:tcW w:type="dxa" w:w="1378"/>
            <w:shd w:fill="F2F4F7"/>
          </w:tcPr>
          <w:p>
            <w:r/>
            <w:r>
              <w:rPr>
                <w:rFonts w:ascii="Microsoft YaHei" w:hAnsi="Microsoft YaHei" w:eastAsia="Microsoft YaHei"/>
                <w:b/>
              </w:rPr>
              <w:t>技术结构</w:t>
            </w:r>
          </w:p>
        </w:tc>
        <w:tc>
          <w:tcPr>
            <w:tcW w:type="dxa" w:w="1378"/>
            <w:shd w:fill="F2F4F7"/>
          </w:tcPr>
          <w:p>
            <w:r/>
            <w:r>
              <w:rPr>
                <w:rFonts w:ascii="Microsoft YaHei" w:hAnsi="Microsoft YaHei" w:eastAsia="Microsoft YaHei"/>
                <w:b/>
              </w:rPr>
              <w:t>观察要点</w:t>
            </w:r>
          </w:p>
        </w:tc>
      </w:tr>
      <w:tr>
        <w:tc>
          <w:tcPr>
            <w:tcW w:type="dxa" w:w="1378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000564</w:t>
            </w:r>
          </w:p>
        </w:tc>
        <w:tc>
          <w:tcPr>
            <w:tcW w:type="dxa" w:w="1378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供销大集</w:t>
            </w:r>
          </w:p>
        </w:tc>
        <w:tc>
          <w:tcPr>
            <w:tcW w:type="dxa" w:w="1378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1.73</w:t>
            </w:r>
          </w:p>
        </w:tc>
        <w:tc>
          <w:tcPr>
            <w:tcW w:type="dxa" w:w="1378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+4.85%</w:t>
            </w:r>
          </w:p>
        </w:tc>
        <w:tc>
          <w:tcPr>
            <w:tcW w:type="dxa" w:w="1378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6.42%</w:t>
            </w:r>
          </w:p>
        </w:tc>
        <w:tc>
          <w:tcPr>
            <w:tcW w:type="dxa" w:w="1378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二买/三买候选</w:t>
            </w:r>
          </w:p>
        </w:tc>
        <w:tc>
          <w:tcPr>
            <w:tcW w:type="dxa" w:w="1378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站上5/10/20日线、MACD在0轴上方、KDJ拐头。次日不追高，等回踩1.64/1.59附近不破并转强，可短线关注。</w:t>
            </w:r>
          </w:p>
        </w:tc>
      </w:tr>
      <w:tr>
        <w:tc>
          <w:tcPr>
            <w:tcW w:type="dxa" w:w="1378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600967</w:t>
            </w:r>
          </w:p>
        </w:tc>
        <w:tc>
          <w:tcPr>
            <w:tcW w:type="dxa" w:w="1378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内蒙一机</w:t>
            </w:r>
          </w:p>
        </w:tc>
        <w:tc>
          <w:tcPr>
            <w:tcW w:type="dxa" w:w="1378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13.87</w:t>
            </w:r>
          </w:p>
        </w:tc>
        <w:tc>
          <w:tcPr>
            <w:tcW w:type="dxa" w:w="1378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+3.97%</w:t>
            </w:r>
          </w:p>
        </w:tc>
        <w:tc>
          <w:tcPr>
            <w:tcW w:type="dxa" w:w="1378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8.44%</w:t>
            </w:r>
          </w:p>
        </w:tc>
        <w:tc>
          <w:tcPr>
            <w:tcW w:type="dxa" w:w="1378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二买/三买候选</w:t>
            </w:r>
          </w:p>
        </w:tc>
        <w:tc>
          <w:tcPr>
            <w:tcW w:type="dxa" w:w="1378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站上5/10/20日线、MACD在0轴上方、KDJ拐头。次日不追高，等回踩13.57/12.45附近不破并转强，可短线关注。</w:t>
            </w:r>
          </w:p>
        </w:tc>
      </w:tr>
      <w:tr>
        <w:tc>
          <w:tcPr>
            <w:tcW w:type="dxa" w:w="1378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002251</w:t>
            </w:r>
          </w:p>
        </w:tc>
        <w:tc>
          <w:tcPr>
            <w:tcW w:type="dxa" w:w="1378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步步高</w:t>
            </w:r>
          </w:p>
        </w:tc>
        <w:tc>
          <w:tcPr>
            <w:tcW w:type="dxa" w:w="1378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4.06</w:t>
            </w:r>
          </w:p>
        </w:tc>
        <w:tc>
          <w:tcPr>
            <w:tcW w:type="dxa" w:w="1378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+3.31%</w:t>
            </w:r>
          </w:p>
        </w:tc>
        <w:tc>
          <w:tcPr>
            <w:tcW w:type="dxa" w:w="1378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10.74%</w:t>
            </w:r>
          </w:p>
        </w:tc>
        <w:tc>
          <w:tcPr>
            <w:tcW w:type="dxa" w:w="1378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二买/三买候选</w:t>
            </w:r>
          </w:p>
        </w:tc>
        <w:tc>
          <w:tcPr>
            <w:tcW w:type="dxa" w:w="1378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站上5/10/20日线、MACD在0轴上方、KDJ拐头。次日不追高，等回踩3.87/3.81附近不破并转强，可短线关注。</w:t>
            </w:r>
          </w:p>
        </w:tc>
      </w:tr>
    </w:tbl>
    <w:p/>
    <w:p>
      <w:pPr>
        <w:pStyle w:val="Heading1"/>
      </w:pPr>
      <w:r>
        <w:t>强势但不宜追高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c>
          <w:tcPr>
            <w:tcW w:type="dxa" w:w="1930"/>
            <w:shd w:fill="F2F4F7"/>
          </w:tcPr>
          <w:p>
            <w:r/>
            <w:r>
              <w:rPr>
                <w:rFonts w:ascii="Microsoft YaHei" w:hAnsi="Microsoft YaHei" w:eastAsia="Microsoft YaHei"/>
                <w:b/>
              </w:rPr>
              <w:t>代码</w:t>
            </w:r>
          </w:p>
        </w:tc>
        <w:tc>
          <w:tcPr>
            <w:tcW w:type="dxa" w:w="1930"/>
            <w:shd w:fill="F2F4F7"/>
          </w:tcPr>
          <w:p>
            <w:r/>
            <w:r>
              <w:rPr>
                <w:rFonts w:ascii="Microsoft YaHei" w:hAnsi="Microsoft YaHei" w:eastAsia="Microsoft YaHei"/>
                <w:b/>
              </w:rPr>
              <w:t>名称</w:t>
            </w:r>
          </w:p>
        </w:tc>
        <w:tc>
          <w:tcPr>
            <w:tcW w:type="dxa" w:w="1930"/>
            <w:shd w:fill="F2F4F7"/>
          </w:tcPr>
          <w:p>
            <w:r/>
            <w:r>
              <w:rPr>
                <w:rFonts w:ascii="Microsoft YaHei" w:hAnsi="Microsoft YaHei" w:eastAsia="Microsoft YaHei"/>
                <w:b/>
              </w:rPr>
              <w:t>收盘</w:t>
            </w:r>
          </w:p>
        </w:tc>
        <w:tc>
          <w:tcPr>
            <w:tcW w:type="dxa" w:w="1930"/>
            <w:shd w:fill="F2F4F7"/>
          </w:tcPr>
          <w:p>
            <w:r/>
            <w:r>
              <w:rPr>
                <w:rFonts w:ascii="Microsoft YaHei" w:hAnsi="Microsoft YaHei" w:eastAsia="Microsoft YaHei"/>
                <w:b/>
              </w:rPr>
              <w:t>涨幅</w:t>
            </w:r>
          </w:p>
        </w:tc>
        <w:tc>
          <w:tcPr>
            <w:tcW w:type="dxa" w:w="1930"/>
            <w:shd w:fill="F2F4F7"/>
          </w:tcPr>
          <w:p>
            <w:r/>
            <w:r>
              <w:rPr>
                <w:rFonts w:ascii="Microsoft YaHei" w:hAnsi="Microsoft YaHei" w:eastAsia="Microsoft YaHei"/>
                <w:b/>
              </w:rPr>
              <w:t>风险点 / 处理方式</w:t>
            </w:r>
          </w:p>
        </w:tc>
      </w:tr>
      <w:tr>
        <w:tc>
          <w:tcPr>
            <w:tcW w:type="dxa" w:w="1930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000980</w:t>
            </w:r>
          </w:p>
        </w:tc>
        <w:tc>
          <w:tcPr>
            <w:tcW w:type="dxa" w:w="1930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众泰汽车</w:t>
            </w:r>
          </w:p>
        </w:tc>
        <w:tc>
          <w:tcPr>
            <w:tcW w:type="dxa" w:w="1930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1.84</w:t>
            </w:r>
          </w:p>
        </w:tc>
        <w:tc>
          <w:tcPr>
            <w:tcW w:type="dxa" w:w="1930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+10.18%</w:t>
            </w:r>
          </w:p>
        </w:tc>
        <w:tc>
          <w:tcPr>
            <w:tcW w:type="dxa" w:w="1930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风险点：接近涨停，次日容易分歧。处理方式：只等回踩1.70/1.70附近不破再看，不追高。</w:t>
            </w:r>
          </w:p>
        </w:tc>
      </w:tr>
      <w:tr>
        <w:tc>
          <w:tcPr>
            <w:tcW w:type="dxa" w:w="1930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002349</w:t>
            </w:r>
          </w:p>
        </w:tc>
        <w:tc>
          <w:tcPr>
            <w:tcW w:type="dxa" w:w="1930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精华制药</w:t>
            </w:r>
          </w:p>
        </w:tc>
        <w:tc>
          <w:tcPr>
            <w:tcW w:type="dxa" w:w="1930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8.42</w:t>
            </w:r>
          </w:p>
        </w:tc>
        <w:tc>
          <w:tcPr>
            <w:tcW w:type="dxa" w:w="1930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+10.06%</w:t>
            </w:r>
          </w:p>
        </w:tc>
        <w:tc>
          <w:tcPr>
            <w:tcW w:type="dxa" w:w="1930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风险点：接近涨停，次日容易分歧。处理方式：只等回踩7.91/7.77附近不破再看，不追高。</w:t>
            </w:r>
          </w:p>
        </w:tc>
      </w:tr>
      <w:tr>
        <w:tc>
          <w:tcPr>
            <w:tcW w:type="dxa" w:w="1930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000833</w:t>
            </w:r>
          </w:p>
        </w:tc>
        <w:tc>
          <w:tcPr>
            <w:tcW w:type="dxa" w:w="1930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粤桂股份</w:t>
            </w:r>
          </w:p>
        </w:tc>
        <w:tc>
          <w:tcPr>
            <w:tcW w:type="dxa" w:w="1930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22.83</w:t>
            </w:r>
          </w:p>
        </w:tc>
        <w:tc>
          <w:tcPr>
            <w:tcW w:type="dxa" w:w="1930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+10.02%</w:t>
            </w:r>
          </w:p>
        </w:tc>
        <w:tc>
          <w:tcPr>
            <w:tcW w:type="dxa" w:w="1930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风险点：接近涨停，次日容易分歧。处理方式：只等回踩20.73/20.93附近不破再看，不追高。</w:t>
            </w:r>
          </w:p>
        </w:tc>
      </w:tr>
      <w:tr>
        <w:tc>
          <w:tcPr>
            <w:tcW w:type="dxa" w:w="1930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600596</w:t>
            </w:r>
          </w:p>
        </w:tc>
        <w:tc>
          <w:tcPr>
            <w:tcW w:type="dxa" w:w="1930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新安股份</w:t>
            </w:r>
          </w:p>
        </w:tc>
        <w:tc>
          <w:tcPr>
            <w:tcW w:type="dxa" w:w="1930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12.08</w:t>
            </w:r>
          </w:p>
        </w:tc>
        <w:tc>
          <w:tcPr>
            <w:tcW w:type="dxa" w:w="1930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+10.02%</w:t>
            </w:r>
          </w:p>
        </w:tc>
        <w:tc>
          <w:tcPr>
            <w:tcW w:type="dxa" w:w="1930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风险点：接近涨停，次日容易分歧；KDJ J值95偏高。处理方式：只等回踩11.24/11.09附近不破再看，不追高。</w:t>
            </w:r>
          </w:p>
        </w:tc>
      </w:tr>
      <w:tr>
        <w:tc>
          <w:tcPr>
            <w:tcW w:type="dxa" w:w="1930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000059</w:t>
            </w:r>
          </w:p>
        </w:tc>
        <w:tc>
          <w:tcPr>
            <w:tcW w:type="dxa" w:w="1930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华锦股份</w:t>
            </w:r>
          </w:p>
        </w:tc>
        <w:tc>
          <w:tcPr>
            <w:tcW w:type="dxa" w:w="1930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6.15</w:t>
            </w:r>
          </w:p>
        </w:tc>
        <w:tc>
          <w:tcPr>
            <w:tcW w:type="dxa" w:w="1930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+10.02%</w:t>
            </w:r>
          </w:p>
        </w:tc>
        <w:tc>
          <w:tcPr>
            <w:tcW w:type="dxa" w:w="1930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风险点：接近涨停，次日容易分歧。处理方式：只等回踩5.84/5.64附近不破再看，不追高。</w:t>
            </w:r>
          </w:p>
        </w:tc>
      </w:tr>
      <w:tr>
        <w:tc>
          <w:tcPr>
            <w:tcW w:type="dxa" w:w="1930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600722</w:t>
            </w:r>
          </w:p>
        </w:tc>
        <w:tc>
          <w:tcPr>
            <w:tcW w:type="dxa" w:w="1930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金牛化工</w:t>
            </w:r>
          </w:p>
        </w:tc>
        <w:tc>
          <w:tcPr>
            <w:tcW w:type="dxa" w:w="1930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19.77</w:t>
            </w:r>
          </w:p>
        </w:tc>
        <w:tc>
          <w:tcPr>
            <w:tcW w:type="dxa" w:w="1930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+10.02%</w:t>
            </w:r>
          </w:p>
        </w:tc>
        <w:tc>
          <w:tcPr>
            <w:tcW w:type="dxa" w:w="1930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风险点：接近涨停，次日容易分歧；10日涨幅41.0%透支。处理方式：只等回踩18.31/16.97附近不破再看，不追高。</w:t>
            </w:r>
          </w:p>
        </w:tc>
      </w:tr>
    </w:tbl>
    <w:p/>
    <w:p>
      <w:pPr>
        <w:pStyle w:val="Heading1"/>
      </w:pPr>
      <w:r>
        <w:t>剔除或降级观察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603986 兆易创新：未站上20日线；KDJ无金叉且未拐头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600869 远东股份：KDJ无金叉且未拐头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001309 德明利：KDJ无金叉且未拐头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601869 长飞光纤：KDJ无金叉且未拐头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600667 太极实业：未站上20日线；MACD未在0轴上方且未金叉/柱体改善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600362 江西铜业：KDJ无金叉且未拐头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002536 飞龙股份：KDJ无金叉且未拐头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600498 烽火通信：KDJ无金叉且未拐头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600105 永鼎股份：未站上20日线；KDJ无金叉且未拐头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600172 黄河旋风：KDJ无金叉且未拐头</w:t>
      </w:r>
    </w:p>
    <w:p>
      <w:pPr>
        <w:pStyle w:val="Heading1"/>
      </w:pPr>
      <w:r>
        <w:t>次日入场触发条件</w:t>
      </w:r>
    </w:p>
    <w:p>
      <w:pPr>
        <w:pStyle w:val="ListNumber"/>
      </w:pPr>
      <w:r>
        <w:rPr>
          <w:rFonts w:ascii="Microsoft YaHei" w:hAnsi="Microsoft YaHei" w:eastAsia="Microsoft YaHei"/>
          <w:b w:val="0"/>
        </w:rPr>
        <w:t>回踩 5 日线或 10 日线不破，分时出现底背驰或放量重新站回均价线。</w:t>
      </w:r>
    </w:p>
    <w:p>
      <w:pPr>
        <w:pStyle w:val="ListNumber"/>
      </w:pPr>
      <w:r>
        <w:rPr>
          <w:rFonts w:ascii="Microsoft YaHei" w:hAnsi="Microsoft YaHei" w:eastAsia="Microsoft YaHei"/>
          <w:b w:val="0"/>
        </w:rPr>
        <w:t>回踩前一日实体中部或关键均线后缩量止跌，随后放量突破分时平台。</w:t>
      </w:r>
    </w:p>
    <w:p>
      <w:pPr>
        <w:pStyle w:val="ListNumber"/>
      </w:pPr>
      <w:r>
        <w:rPr>
          <w:rFonts w:ascii="Microsoft YaHei" w:hAnsi="Microsoft YaHei" w:eastAsia="Microsoft YaHei"/>
          <w:b w:val="0"/>
        </w:rPr>
        <w:t>突破今日高点但不爆量，且板块同步走强。</w:t>
      </w:r>
    </w:p>
    <w:p>
      <w:pPr>
        <w:pStyle w:val="Heading1"/>
      </w:pPr>
      <w:r>
        <w:t>失效条件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跌破 10 日线且无法快速收回。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MACD 黄白线重新走弱并靠近/跌破 0 轴。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高开冲高后放量回落，跌回前一日实体下半区。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所属板块由强转弱，个股独强但量能失控。</w:t>
      </w:r>
    </w:p>
    <w:p>
      <w:pPr>
        <w:pStyle w:val="Heading1"/>
      </w:pPr>
      <w:r>
        <w:t>数据与风险说明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数据源：东方财富公开行情接口（新浪日K兜底）+ 本地缓存；数据日期：2026-09-08；运行时间：2026-09-08。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本报告只做短线技术观察，不构成投资建议，不承诺收益。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缠论口径里，二买、三买都要看盘中“回踩不破、拉起有效”，需结合分时和板块确认。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KDJ 只辅助节奏，不能单独作为买点；所有信号以次日盘中实际走势为准。</w:t>
      </w:r>
    </w:p>
    <w:sectPr w:rsidR="00FC693F" w:rsidRPr="0006063C" w:rsidSect="00034616">
      <w:pgSz w:w="12240" w:h="15840"/>
      <w:pgMar w:top="1296" w:right="1296" w:bottom="1296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8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