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  <w:jc w:val="left"/>
        <w:rPr>
          <w:color w:val="326B68"/>
          <w:sz w:val="60"/>
          <w:b w:val="1"/>
          <w:rtl w:val="0"/>
        </w:rPr>
      </w:pPr>
      <w:r w:rsidR="00000000" w:rsidRPr="00000000" w:rsidDel="00000000">
        <w:rPr>
          <w:rStyle w:val="Title"/>
          <w:color w:val="326B68"/>
          <w:sz w:val="60"/>
          <w:b w:val="1"/>
          <w:rtl w:val="0"/>
        </w:rPr>
        <w:t xml:space="preserve">资产分析报告</w:t>
      </w:r>
    </w:p>
    <w:p w:rsidP="00000000" w:rsidRDefault="00000000" w:rsidR="00000000" w:rsidRPr="00000000" w:rsidDel="00000000">
      <w:pPr>
        <w:pStyle w:val="Subtitle"/>
        <w:contextualSpacing w:val="0"/>
        <w:jc w:val="left"/>
      </w:pPr>
      <w:r w:rsidR="00000000" w:rsidRPr="00000000" w:rsidDel="00000000">
        <w:rPr>
          <w:rStyle w:val="Subtitle"/>
          <w:rtl w:val="0"/>
        </w:rPr>
        <w:t xml:space="preserve">报告时间：2019-02-13 16:38</w:t>
      </w:r>
    </w:p>
    <w:p w:rsidP="00000000" w:rsidRDefault="00000000" w:rsidR="00000000" w:rsidRPr="00000000" w:rsidDel="00000000">
      <w:pPr>
        <w:pBdr>
          <w:top w:color="326B68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1"/>
        <w:contextualSpacing w:val="0"/>
        <w:jc w:val="left"/>
      </w:pPr>
      <w:r w:rsidR="00000000" w:rsidRPr="00000000" w:rsidDel="00000000">
        <w:rPr>
          <w:rStyle w:val="Heading1"/>
          <w:rtl w:val="0"/>
        </w:rPr>
        <w:t xml:space="preserve">Part 1. 情况总览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  <w:jc w:val="left"/>
      </w:pPr>
      <w:r w:rsidR="00000000" w:rsidRPr="00000000" w:rsidDel="00000000">
        <w:rPr>
          <w:rStyle w:val="Heading3"/>
          <w:rtl w:val="0"/>
        </w:rPr>
        <w:t xml:space="preserve">Part 1.1 资产总览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经过分析，共发现1770个存活IP，并在这些IP上面发现开放端口13561个，资产5852个，其中硬件资产390个，涵盖31个品类；软件资产5442个，涵盖35个品类。</w:t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1" w:space="0"/>
          <w:left w:color="auto" w:val="single" w:sz="1" w:space="0"/>
          <w:bottom w:color="auto" w:val="single" w:sz="1" w:space="0"/>
          <w:right w:color="auto" w:val="single" w:sz="1" w:space="0"/>
          <w:insideH w:color="auto" w:val="single" w:sz="1" w:space="0"/>
          <w:insideV w:color="auto" w:val="single" w:sz="1" w:space="0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0"/>
                <w:rtl w:val="0"/>
              </w:rPr>
            </w:pPr>
            <w:r w:rsidR="00000000" w:rsidRPr="00000000" w:rsidDel="00000000">
              <w:rPr>
                <w:color w:val="ffffff"/>
                <w:b w:val="0"/>
                <w:rtl w:val="0"/>
              </w:rPr>
              <w:t xml:space="preserve">存活IP数量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0"/>
                <w:rtl w:val="0"/>
              </w:rPr>
            </w:pPr>
            <w:r w:rsidR="00000000" w:rsidRPr="00000000" w:rsidDel="00000000">
              <w:rPr>
                <w:color w:val="ffffff"/>
                <w:b w:val="0"/>
                <w:rtl w:val="0"/>
              </w:rPr>
              <w:t xml:space="preserve">资产总量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0"/>
                <w:rtl w:val="0"/>
              </w:rPr>
            </w:pPr>
            <w:r w:rsidR="00000000" w:rsidRPr="00000000" w:rsidDel="00000000">
              <w:rPr>
                <w:color w:val="ffffff"/>
                <w:b w:val="0"/>
                <w:rtl w:val="0"/>
              </w:rPr>
              <w:t xml:space="preserve">硬件资产估值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0"/>
                <w:rtl w:val="0"/>
              </w:rPr>
            </w:pPr>
            <w:r w:rsidR="00000000" w:rsidRPr="00000000" w:rsidDel="00000000">
              <w:rPr>
                <w:color w:val="ffffff"/>
                <w:b w:val="0"/>
                <w:rtl w:val="0"/>
              </w:rPr>
              <w:t xml:space="preserve">开放端口数量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b w:val="1"/>
                <w:rtl w:val="0"/>
              </w:rPr>
            </w:pPr>
            <w:r w:rsidR="00000000" w:rsidRPr="00000000" w:rsidDel="00000000">
              <w:rPr>
                <w:color w:val="326B68"/>
                <w:b w:val="1"/>
                <w:rtl w:val="0"/>
              </w:rPr>
              <w:t xml:space="preserve">1770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b w:val="1"/>
                <w:rtl w:val="0"/>
              </w:rPr>
            </w:pPr>
            <w:r w:rsidR="00000000" w:rsidRPr="00000000" w:rsidDel="00000000">
              <w:rPr>
                <w:color w:val="326B68"/>
                <w:b w:val="1"/>
                <w:rtl w:val="0"/>
              </w:rPr>
              <w:t xml:space="preserve">5852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b w:val="1"/>
                <w:rtl w:val="0"/>
              </w:rPr>
            </w:pPr>
            <w:r w:rsidR="00000000" w:rsidRPr="00000000" w:rsidDel="00000000">
              <w:rPr>
                <w:color w:val="326B68"/>
                <w:b w:val="1"/>
                <w:rtl w:val="0"/>
              </w:rPr>
              <w:t xml:space="preserve">¥666.05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b w:val="1"/>
                <w:rtl w:val="0"/>
              </w:rPr>
            </w:pPr>
            <w:r w:rsidR="00000000" w:rsidRPr="00000000" w:rsidDel="00000000">
              <w:rPr>
                <w:color w:val="326B68"/>
                <w:b w:val="1"/>
                <w:rtl w:val="0"/>
              </w:rPr>
              <w:t xml:space="preserve">13561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5969000" cy="3810000"/>
            <wp:effectExtent t="0" b="0" r="0" l="0"/>
            <wp:docPr id="6" name="media/image6.png"/>
            <a:graphic>
              <a:graphicData uri="http://schemas.openxmlformats.org/drawingml/2006/picture">
                <pic:pic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x="5969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5969000" cy="3810000"/>
            <wp:effectExtent t="0" b="0" r="0" l="0"/>
            <wp:docPr id="7" name="media/image7.png"/>
            <a:graphic>
              <a:graphicData uri="http://schemas.openxmlformats.org/drawingml/2006/picture">
                <pic:pic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x="5969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资产主要分布于248个地区、2个组织结构中，具体分布情况如下：</w:t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1" w:space="0"/>
          <w:left w:color="auto" w:val="single" w:sz="1" w:space="0"/>
          <w:bottom w:color="auto" w:val="single" w:sz="1" w:space="0"/>
          <w:right w:color="auto" w:val="single" w:sz="1" w:space="0"/>
          <w:insideH w:color="auto" w:val="single" w:sz="1" w:space="0"/>
          <w:insideV w:color="auto" w:val="single" w:sz="1" w:space="0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地区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IP数量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端口数量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资产数量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北京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171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1112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668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广东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390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香港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2169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328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浙江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576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304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加利福尼亚州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1162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177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山东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249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263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韩国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182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弗吉尼亚州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126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上海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199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台湾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江苏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591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136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四川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德克萨斯州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俄勒冈州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英国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福建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河南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78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意大利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纽约州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辽宁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295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巴西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39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西班牙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萨克森自由州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荷兰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波兰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印度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德国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伊利诺伊州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286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湖北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307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俄亥俄州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29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安徽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美国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犹他州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131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河北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安大略省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上法兰西大区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283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38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黑森州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江西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305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新加坡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29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山西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亚利桑那州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东京都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澳大利亚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18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法兰西岛大区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土耳其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247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18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北荷兰省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魁北克省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首尔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18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都柏林郡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贵州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湖南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29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日本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天津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佛罗里达州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阿根廷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瑞士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巴登－符腾堡州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巴伐利亚州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委内瑞拉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圣保罗州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华盛顿州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黑龙江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芬兰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瑞典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法国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新疆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宾夕法尼亚州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18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北莱茵－威斯特法伦州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内蒙古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254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伊朗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云南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威斯康星州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捷克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罗马尼亚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280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重庆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马哈拉施特拉邦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马萨诸塞州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大阪府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堪萨斯州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乔治亚州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以色列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匈牙利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南卡罗来纳州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哈萨克斯坦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哥伦比亚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沙特阿拉伯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爱荷华州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胡志明市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陕西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18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雅加达首都特区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青海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曼谷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新南威尔士州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挪威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不列颠哥伦比亚省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北卡罗来纳州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吉林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大东部大区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密歇根州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广西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智利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18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汉堡州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泰国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爱沙尼亚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科罗拉多州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艾伯塔省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马来西亚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新泽西州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斯洛伐克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斯德哥尔摩省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乌克兰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亚拉巴马州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伦巴第大区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伯克郡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克罗地亚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卡纳塔克邦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大曼彻斯特郡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石勒苏益格－荷尔斯泰因州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田纳西州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瓦隆大区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爱知县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柏林州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新西兰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斯科讷省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斯洛文尼亚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科威特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立陶宛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釜山广域市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蒙大拿州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葡萄牙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萨斯喀彻温省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萨拉托夫州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菲律宾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肯塔基州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米却肯州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拉齐奥大区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巴基斯坦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南非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勃艮第－弗朗什孔泰大区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俄克拉荷马州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佩斯州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伦敦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丹麦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中央－卢瓦尔河谷大区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中国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厄瓜多尔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圣彼得堡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密苏里州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宁夏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孟加拉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奥地利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奥克西塔尼大区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大田广域市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墨西哥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塞尔维亚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特拉斯卡拉州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玻利维亚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瓜纳华托州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甘肃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皮埃蒙特大区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秘鲁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缅因州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缅甸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罗斯托夫州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考纳斯县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爱达荷州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澳门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海南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明尼苏达州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普罗旺斯－阿尔卑斯－蓝色海岸大区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柔佛州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格罗宁根省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梅克伦堡－前波美拉尼亚州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比利时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沃罗涅什州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河内市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法属圭亚那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新阿基坦大区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艾米利亚－罗马涅大区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阿尔及利亚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阿尔巴尼亚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阿曼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270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阿联酋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阿肯色州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雪兰莪州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韦姆兰省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马尔代夫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马德里自治区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车里雅宾斯克州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路易斯安那州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豪登省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茨城县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莫斯科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莫斯科州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莫桑比克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莫雷洛斯州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萨克森－安哈尔特州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萨马拉州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西苏门答腊省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西那罗阿州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马提尼克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新罕布什尔州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下萨克森州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加里宁格勒州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北布拉班特省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北爱尔兰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北约克郡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南澳大利亚州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印度尼西亚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厄勒布鲁省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哈利斯科州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图林根州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前江省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内华达州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兰开夏郡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下诺夫哥罗德州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不来梅州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乌拉圭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代尼兹利省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俄罗斯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光州广域市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克拉斯诺亚尔斯克边疆区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克拉斯诺达尔边疆区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克麦罗沃州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坎帕尼亚大区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坦波夫州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尼日利亚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7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巴哈马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272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布加勒斯特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希腊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庆尚北道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康涅狄格州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延雪平省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弗莱福兰省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德伦特省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尼加拉瓜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富山县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密西西比州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埃及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基洛夫州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基辅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塞浦路斯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夏威夷州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多塞特郡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多米尼加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奥伦堡州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0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安道尔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斯塔夫罗波尔边疆区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1" w:space="0"/>
          <w:left w:color="auto" w:val="single" w:sz="1" w:space="0"/>
          <w:bottom w:color="auto" w:val="single" w:sz="1" w:space="0"/>
          <w:right w:color="auto" w:val="single" w:sz="1" w:space="0"/>
          <w:insideH w:color="auto" w:val="single" w:sz="1" w:space="0"/>
          <w:insideV w:color="auto" w:val="single" w:sz="1" w:space="0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组织结构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IP数量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端口数量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资产数量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总部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1739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13433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5736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justtime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31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128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122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1" w:space="0"/>
          <w:left w:color="auto" w:val="single" w:sz="1" w:space="0"/>
          <w:bottom w:color="auto" w:val="single" w:sz="1" w:space="0"/>
          <w:right w:color="auto" w:val="single" w:sz="1" w:space="0"/>
          <w:insideH w:color="auto" w:val="single" w:sz="1" w:space="0"/>
          <w:insideV w:color="auto" w:val="single" w:sz="1" w:space="0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业务系统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IP数量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端口数量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资产数量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  <w:jc w:val="left"/>
      </w:pPr>
      <w:r w:rsidR="00000000" w:rsidRPr="00000000" w:rsidDel="00000000">
        <w:rPr>
          <w:rStyle w:val="Heading3"/>
          <w:rtl w:val="0"/>
        </w:rPr>
        <w:t xml:space="preserve">Part 1.2 需要关注的问题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4"/>
        <w:contextualSpacing w:val="0"/>
        <w:jc w:val="left"/>
      </w:pPr>
      <w:r w:rsidR="00000000" w:rsidRPr="00000000" w:rsidDel="00000000">
        <w:rPr>
          <w:rStyle w:val="Heading4"/>
          <w:rtl w:val="0"/>
        </w:rPr>
        <w:t xml:space="preserve">Part 1.2.1 关于安全防护系统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经过评估，安全防护系统达到了90分，防护水平较高，请管理者根据具体的业务和安全需求酌情添加相关的防护产品，具体情况请参见Part 2.部分中的说明。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4"/>
        <w:contextualSpacing w:val="0"/>
        <w:jc w:val="left"/>
      </w:pPr>
      <w:r w:rsidR="00000000" w:rsidRPr="00000000" w:rsidDel="00000000">
        <w:rPr>
          <w:rStyle w:val="Heading4"/>
          <w:rtl w:val="0"/>
        </w:rPr>
        <w:t xml:space="preserve">Part 1.2.2 关于端口潜在风险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发现在367个IP上面开放端口超过 5 个，建议对下面IP的开放端口情况进行核查，关闭非必需的端口以降低被攻击利用的风险。完整列表请查看附录： 端口开放过多的IP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1" w:space="0"/>
          <w:left w:color="auto" w:val="single" w:sz="1" w:space="0"/>
          <w:bottom w:color="auto" w:val="single" w:sz="1" w:space="0"/>
          <w:right w:color="auto" w:val="single" w:sz="1" w:space="0"/>
          <w:insideH w:color="auto" w:val="single" w:sz="1" w:space="0"/>
          <w:insideV w:color="auto" w:val="single" w:sz="1" w:space="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IP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地区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组织结构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业务系统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开放端口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对应服务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45.120.186.48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总部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8099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unknown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45.120.186.48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总部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20574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unknown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45.120.186.48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总部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9981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unknown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45.120.186.48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总部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16993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unknown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45.120.186.48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总部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16992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unknown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45.120.186.48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总部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25105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unknown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45.120.186.48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总部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8098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unknown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45.120.186.48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总部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4848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unknown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45.120.186.48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总部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110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unknown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45.120.186.48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总部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/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5938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unknown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4"/>
        <w:contextualSpacing w:val="0"/>
        <w:jc w:val="left"/>
      </w:pPr>
      <w:r w:rsidR="00000000" w:rsidRPr="00000000" w:rsidDel="00000000">
        <w:rPr>
          <w:rStyle w:val="Heading4"/>
          <w:rtl w:val="0"/>
        </w:rPr>
        <w:t xml:space="preserve">Part 1.2.3 关于资产品牌分布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软件资产中占比较高的厂商及品牌如下：</w:t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1" w:space="0"/>
          <w:left w:color="auto" w:val="single" w:sz="1" w:space="0"/>
          <w:bottom w:color="auto" w:val="single" w:sz="1" w:space="0"/>
          <w:right w:color="auto" w:val="single" w:sz="1" w:space="0"/>
          <w:insideH w:color="auto" w:val="single" w:sz="1" w:space="0"/>
          <w:insideV w:color="auto" w:val="single" w:sz="1" w:space="0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厂商及品牌名称</w:t>
            </w:r>
          </w:p>
        </w:tc>
        <w:tc>
          <w:tcPr>
            <w:shd w:fill="44948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资产占比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Microsoft Corporation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21.87</w:t>
            </w:r>
          </w:p>
        </w:tc>
      </w:tr>
      <w:tr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Oracle</w:t>
            </w:r>
          </w:p>
        </w:tc>
        <w:tc>
          <w:tcPr>
            <w:shd w:fill="ECF2F1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326B68"/>
                <w:rtl w:val="0"/>
              </w:rPr>
            </w:pPr>
            <w:r w:rsidR="00000000" w:rsidRPr="00000000" w:rsidDel="00000000">
              <w:rPr>
                <w:color w:val="326B68"/>
                <w:rtl w:val="0"/>
              </w:rPr>
              <w:t xml:space="preserve">10.73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建议重点关注以上厂商及品牌的动态及舆情信息，如发现危险情报应该立即对受影响的资产进行排查，规避安全事件的发生。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1"/>
        <w:contextualSpacing w:val="0"/>
        <w:jc w:val="left"/>
      </w:pPr>
      <w:r w:rsidR="00000000" w:rsidRPr="00000000" w:rsidDel="00000000">
        <w:rPr>
          <w:rStyle w:val="Heading1"/>
          <w:rtl w:val="0"/>
        </w:rPr>
        <w:t xml:space="preserve">Part 2. 安全防护系统评估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经过评估，安全防护系统达到了90分，防护水平较高，请管理者根据具体的业务和安全需求酌情添加相关的防护产品。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4"/>
        <w:contextualSpacing w:val="0"/>
        <w:jc w:val="left"/>
        <w:rPr>
          <w:color w:val="326B68"/>
          <w:rtl w:val="0"/>
        </w:rPr>
      </w:pPr>
      <w:r w:rsidR="00000000" w:rsidRPr="00000000" w:rsidDel="00000000">
        <w:rPr>
          <w:rStyle w:val="Heading4"/>
          <w:color w:val="326B68"/>
          <w:rtl w:val="0"/>
        </w:rPr>
        <w:t xml:space="preserve">边界隔离措施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防火墙+10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深信服-防火墙类产品 @ 深圳市深信服电子科技有限公司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WatchGuard-Firewall @ WatchGuard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绿盟-下一代防火墙 @ 北京神州绿盟信息安全科技股份有限公司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皓峰通讯智能防火墙 @ 皓峰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PaloAlto-GlobalProtect @ Palo Alto Networks, Inc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天融信-防火墙 @ 北京天融信科技股份有限公司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华为-USG防火墙 @ 华为技术有限公司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入侵防护+10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天融信-入侵防御系统TopIDP @ 北京天融信科技股份有限公司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物理隔离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系统内未发现，物理隔离装置可以从物理上隔离、阻断了具有潜在攻击可能的一切连接，实现了更高的安全级别。建议选用安全隔离网闸产品。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流量控制+5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山石网科-流量管理 @ 山石网科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Cacti @ The Cacti Group, Inc.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PRTG-Network-Monitor @ Paessler AG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4"/>
        <w:contextualSpacing w:val="0"/>
        <w:jc w:val="left"/>
        <w:rPr>
          <w:color w:val="326B68"/>
          <w:rtl w:val="0"/>
        </w:rPr>
      </w:pPr>
      <w:r w:rsidR="00000000" w:rsidRPr="00000000" w:rsidDel="00000000">
        <w:rPr>
          <w:rStyle w:val="Heading4"/>
          <w:color w:val="326B68"/>
          <w:rtl w:val="0"/>
        </w:rPr>
        <w:t xml:space="preserve">应用安全措施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Web应用防火墙+5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IBM-WebSphere-DataPower @ International Business Machines Corporation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安全狗 @ 厦门服云信息科技有限公司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一所-网防G01新版本 @ 公安部第一研究所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铱迅-WAF @ 铱迅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360主机卫士 @ 北京奇虎科技有限公司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网防G01 @ 椒图科技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Microsoft-ISA-Server @ Microsoft Corporation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InfoGuard-Airlock @ InfoGuard AG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WebRay-WAF @ 远江盛邦（北京）信息技术有限公司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网页防篡改+5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深信服-防篡改系统 @ 深圳市深信服电子科技有限公司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上网行为管理+10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深信服-上网行为管理 @ 深圳市深信服电子科技有限公司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企智通-上网行为管理 @ 北京宽广智通信息技术有限公司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网御-上网行为管理系统 @ 北京网御星云信息技术有限公司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内网安全准入控制+10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Dell-Remote-Access-Controller @ Dell Technologies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4"/>
        <w:contextualSpacing w:val="0"/>
        <w:jc w:val="left"/>
        <w:rPr>
          <w:color w:val="326B68"/>
          <w:rtl w:val="0"/>
        </w:rPr>
      </w:pPr>
      <w:r w:rsidR="00000000" w:rsidRPr="00000000" w:rsidDel="00000000">
        <w:rPr>
          <w:rStyle w:val="Heading4"/>
          <w:color w:val="326B68"/>
          <w:rtl w:val="0"/>
        </w:rPr>
        <w:t xml:space="preserve">安全运维措施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堡垒机+10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IT内控堡垒主机 @ 北京圣博润高新技术股份有限公司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CheungSSH @ 其他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帕拉迪-统一安全管理和综合审计系统 @ 杭州帕拉迪网络科技有限公司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绿盟-SAS @ 北京神州绿盟信息安全科技股份有限公司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网站监控预警+5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BinarySec-云防护 @ BinarySEC Corporation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NetPilot @ NetPilot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漏洞扫描+5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天融信-脆弱性扫描与管理系统 @ 北京天融信科技股份有限公司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防病毒+10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Fortinet-FortiGuard @ Fortinet, Inc.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360企业安全部署 @ 360企业安全集团
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网络审计+5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江南科友-HAC @ 广州江南科友科技股份有限公司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1"/>
        <w:contextualSpacing w:val="0"/>
        <w:jc w:val="left"/>
      </w:pPr>
      <w:r w:rsidR="00000000" w:rsidRPr="00000000" w:rsidDel="00000000">
        <w:rPr>
          <w:rStyle w:val="Heading1"/>
          <w:rtl w:val="0"/>
        </w:rPr>
        <w:t xml:space="preserve">Part 3. 资产情况分析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  <w:jc w:val="left"/>
      </w:pPr>
      <w:r w:rsidR="00000000" w:rsidRPr="00000000" w:rsidDel="00000000">
        <w:rPr>
          <w:rStyle w:val="Heading3"/>
          <w:rtl w:val="0"/>
        </w:rPr>
        <w:t xml:space="preserve">Part 3.1 综合分析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本次扫描在1770个IP上面发现资产5852个，其中硬件资产 390个，软件资产5442个，分布情况如下：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5969000" cy="3810000"/>
            <wp:effectExtent t="0" b="0" r="0" l="0"/>
            <wp:docPr id="8" name="media/image8.png"/>
            <a:graphic>
              <a:graphicData uri="http://schemas.openxmlformats.org/drawingml/2006/picture">
                <pic:pic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x="5969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5969000" cy="3810000"/>
            <wp:effectExtent t="0" b="0" r="0" l="0"/>
            <wp:docPr id="9" name="media/image9.png"/>
            <a:graphic>
              <a:graphicData uri="http://schemas.openxmlformats.org/drawingml/2006/picture">
                <pic:pic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x="5969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  <w:jc w:val="left"/>
      </w:pPr>
      <w:r w:rsidR="00000000" w:rsidRPr="00000000" w:rsidDel="00000000">
        <w:rPr>
          <w:rStyle w:val="Heading3"/>
          <w:rtl w:val="0"/>
        </w:rPr>
        <w:t xml:space="preserve">Part 3.2 硬件资产分析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本次扫描在1770个IP上面发现硬件资产390个，其中网络产品166个，物联网设备133个，安全产品69个，办公外设21个，支撑系统3个，分布情况如下：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5969000" cy="3810000"/>
            <wp:effectExtent t="0" b="0" r="0" l="0"/>
            <wp:docPr id="10" name="media/image10.png"/>
            <a:graphic>
              <a:graphicData uri="http://schemas.openxmlformats.org/drawingml/2006/picture">
                <pic:pic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x="5969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5969000" cy="3810000"/>
            <wp:effectExtent t="0" b="0" r="0" l="0"/>
            <wp:docPr id="11" name="media/image11.png"/>
            <a:graphic>
              <a:graphicData uri="http://schemas.openxmlformats.org/drawingml/2006/picture">
                <pic:pic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x="5969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5969000" cy="3810000"/>
            <wp:effectExtent t="0" b="0" r="0" l="0"/>
            <wp:docPr id="12" name="media/image12.png"/>
            <a:graphic>
              <a:graphicData uri="http://schemas.openxmlformats.org/drawingml/2006/picture">
                <pic:pic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ext cx="5969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5969000" cy="3810000"/>
            <wp:effectExtent t="0" b="0" r="0" l="0"/>
            <wp:docPr id="13" name="media/image13.png"/>
            <a:graphic>
              <a:graphicData uri="http://schemas.openxmlformats.org/drawingml/2006/picture">
                <pic:pic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ext cx="5969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3"/>
        <w:contextualSpacing w:val="0"/>
        <w:jc w:val="left"/>
      </w:pPr>
      <w:r w:rsidR="00000000" w:rsidRPr="00000000" w:rsidDel="00000000">
        <w:rPr>
          <w:rStyle w:val="Heading3"/>
          <w:rtl w:val="0"/>
        </w:rPr>
        <w:t xml:space="preserve">Part 3.3 软件资产分析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本次扫描在1770个IP上面发现软件资产5442个，其中支撑系统3435个，系统软件1027个，企业应用847个，安全产品131个，网络产品2个，分布情况如下：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5969000" cy="3810000"/>
            <wp:effectExtent t="0" b="0" r="0" l="0"/>
            <wp:docPr id="14" name="media/image14.png"/>
            <a:graphic>
              <a:graphicData uri="http://schemas.openxmlformats.org/drawingml/2006/picture">
                <pic:pic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ext cx="5969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5969000" cy="3810000"/>
            <wp:effectExtent t="0" b="0" r="0" l="0"/>
            <wp:docPr id="15" name="media/image15.png"/>
            <a:graphic>
              <a:graphicData uri="http://schemas.openxmlformats.org/drawingml/2006/picture">
                <pic:pic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ext cx="5969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5969000" cy="3810000"/>
            <wp:effectExtent t="0" b="0" r="0" l="0"/>
            <wp:docPr id="16" name="media/image16.png"/>
            <a:graphic>
              <a:graphicData uri="http://schemas.openxmlformats.org/drawingml/2006/picture">
                <pic:pic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ext cx="5969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5969000" cy="3810000"/>
            <wp:effectExtent t="0" b="0" r="0" l="0"/>
            <wp:docPr id="17" name="media/image17.png"/>
            <a:graphic>
              <a:graphicData uri="http://schemas.openxmlformats.org/drawingml/2006/picture">
                <pic:pic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ext cx="5969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5969000" cy="3810000"/>
            <wp:effectExtent t="0" b="0" r="0" l="0"/>
            <wp:docPr id="18" name="media/image18.png"/>
            <a:graphic>
              <a:graphicData uri="http://schemas.openxmlformats.org/drawingml/2006/picture">
                <pic:pic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ext cx="5969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本报告由公安网异扫系统 - 网络空间测绘系统提供</w:t>
      </w:r>
    </w:p>
    <w:sectPr>
      <w:footerReference r:id="rId2" w:type="default"/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>
        <w:rStyle w:val="PageNumber"/>
      </w:rPr>
      <w:t xml:space="preserve">Page </w:t>
    </w: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AltFont" w:type="paragraph">
    <w:name w:val="altFont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7.png" Type="http://schemas.openxmlformats.org/officeDocument/2006/relationships/image" Id="rId7"/><Relationship Target="media/image8.png" Type="http://schemas.openxmlformats.org/officeDocument/2006/relationships/image" Id="rId8"/><Relationship Target="media/image9.png" Type="http://schemas.openxmlformats.org/officeDocument/2006/relationships/image" Id="rId9"/><Relationship Target="media/image10.png" Type="http://schemas.openxmlformats.org/officeDocument/2006/relationships/image" Id="rId10"/><Relationship Target="media/image11.png" Type="http://schemas.openxmlformats.org/officeDocument/2006/relationships/image" Id="rId11"/><Relationship Target="media/image12.png" Type="http://schemas.openxmlformats.org/officeDocument/2006/relationships/image" Id="rId12"/><Relationship Target="media/image13.png" Type="http://schemas.openxmlformats.org/officeDocument/2006/relationships/image" Id="rId13"/><Relationship Target="media/image14.png" Type="http://schemas.openxmlformats.org/officeDocument/2006/relationships/image" Id="rId14"/><Relationship Target="media/image15.png" Type="http://schemas.openxmlformats.org/officeDocument/2006/relationships/image" Id="rId15"/><Relationship Target="media/image16.png" Type="http://schemas.openxmlformats.org/officeDocument/2006/relationships/image" Id="rId16"/><Relationship Target="media/image17.png" Type="http://schemas.openxmlformats.org/officeDocument/2006/relationships/image" Id="rId17"/><Relationship Target="media/image18.png" Type="http://schemas.openxmlformats.org/officeDocument/2006/relationships/image" Id="rId1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