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1F2A44" w:val="clear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4"/>
              </w:rPr>
              <w:t>视频综合目录</w:t>
            </w:r>
          </w:p>
        </w:tc>
      </w:tr>
    </w:tbl>
    <w:p>
      <w:pPr>
        <w:spacing w:before="0" w:after="160" w:line="160" w:lineRule="exact"/>
      </w:pPr>
    </w:p>
    <w:p>
      <w:pPr>
        <w:spacing w:before="0" w:after="80"/>
      </w:pPr>
      <w:r>
        <w:rPr>
          <w:rFonts w:ascii="微软雅黑" w:hAnsi="微软雅黑" w:eastAsia="微软雅黑" w:cs="微软雅黑"/>
          <w:b w:val="0"/>
          <w:color w:val="1F2A44"/>
          <w:sz w:val="22"/>
        </w:rPr>
        <w:t>拓展用累计目录。每条按 1. 2. 3. 编号，只保留标题、二维码，并留出「评论空间」「细节关注」两栏。</w:t>
      </w:r>
    </w:p>
    <w:p>
      <w:pPr>
        <w:spacing w:before="0" w:after="240"/>
      </w:pPr>
      <w:r>
        <w:rPr>
          <w:rFonts w:ascii="微软雅黑" w:hAnsi="微软雅黑" w:eastAsia="微软雅黑" w:cs="微软雅黑"/>
          <w:b w:val="0"/>
          <w:color w:val="5C6473"/>
          <w:sz w:val="20"/>
        </w:rPr>
        <w:t>单视频动作细节属于另一追求方向，不在此列。收到「录入目录」后在文末追加，不覆盖已有条目。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4F1EA" w:val="clear"/>
            <w:tcBorders>
              <w:top w:val="single" w:sz="12" w:space="0" w:color="C4A574"/>
              <w:left w:val="single" w:sz="12" w:space="0" w:color="C4A574"/>
              <w:bottom w:val="single" w:sz="12" w:space="0" w:color="C4A574"/>
              <w:right w:val="single" w:sz="12" w:space="0" w:color="C4A574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微软雅黑" w:hAnsi="微软雅黑" w:eastAsia="微软雅黑" w:cs="微软雅黑"/>
                <w:b/>
                <w:color w:val="C45C26"/>
                <w:sz w:val="28"/>
              </w:rPr>
              <w:t>1.</w:t>
            </w:r>
          </w:p>
          <w:p>
            <w:pPr>
              <w:spacing w:after="160"/>
            </w:pPr>
            <w:r>
              <w:rPr>
                <w:rFonts w:ascii="微软雅黑" w:hAnsi="微软雅黑" w:eastAsia="微软雅黑" w:cs="微软雅黑"/>
                <w:b/>
                <w:color w:val="1F2A44"/>
                <w:sz w:val="26"/>
              </w:rPr>
              <w:t>如何成为精英防守者？3个基础防守脚步训练 让你锁住持球人！【宝石碎片 GemPieces Vol.56】</w:t>
            </w:r>
          </w:p>
          <w:p>
            <w:r>
              <w:rPr>
                <w:rFonts w:ascii="微软雅黑" w:hAnsi="微软雅黑" w:eastAsia="微软雅黑" w:cs="微软雅黑"/>
                <w:b w:val="0"/>
                <w:color w:val="5C6473"/>
                <w:sz w:val="18"/>
              </w:rPr>
              <w:t>二维码（扫码打开视频）</w:t>
            </w:r>
          </w:p>
          <w:p>
            <w:pPr>
              <w:spacing w:after="160"/>
            </w:pPr>
            <w:r>
              <w:drawing>
                <wp:inline xmlns:a="http://schemas.openxmlformats.org/drawingml/2006/main" xmlns:pic="http://schemas.openxmlformats.org/drawingml/2006/picture">
                  <wp:extent cx="1296000" cy="12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二维码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12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rFonts w:ascii="微软雅黑" w:hAnsi="微软雅黑" w:eastAsia="微软雅黑" w:cs="微软雅黑"/>
                <w:b/>
                <w:color w:val="C45C26"/>
                <w:sz w:val="18"/>
              </w:rPr>
              <w:t>评论区附图（图一）</w:t>
            </w:r>
          </w:p>
          <w:p>
            <w:pPr>
              <w:spacing w:after="120"/>
            </w:pPr>
            <w:r>
              <w:drawing>
                <wp:inline xmlns:a="http://schemas.openxmlformats.org/drawingml/2006/main" xmlns:pic="http://schemas.openxmlformats.org/drawingml/2006/picture">
                  <wp:extent cx="5472000" cy="5758371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_评论区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72000" cy="57583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rFonts w:ascii="微软雅黑" w:hAnsi="微软雅黑" w:eastAsia="微软雅黑" w:cs="微软雅黑"/>
                <w:b/>
                <w:color w:val="1F2A44"/>
                <w:sz w:val="20"/>
              </w:rPr>
              <w:t>【KBT干货】如何才能打造铁血防守？今天KBT告诉你2个细节！</w:t>
            </w:r>
          </w:p>
          <w:p>
            <w:r>
              <w:rPr>
                <w:rFonts w:ascii="微软雅黑" w:hAnsi="微软雅黑" w:eastAsia="微软雅黑" w:cs="微软雅黑"/>
                <w:b w:val="0"/>
                <w:color w:val="5C6473"/>
                <w:sz w:val="18"/>
              </w:rPr>
              <w:t>延伸视频二维码</w:t>
            </w:r>
          </w:p>
          <w:p>
            <w:pPr>
              <w:spacing w:after="160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_延伸_BV11U4y1b7EV_二维码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autofit"/>
              <w:tblLook w:firstColumn="1" w:firstRow="1" w:lastColumn="0" w:lastRow="0" w:noHBand="0" w:noVBand="1" w:val="04A0"/>
            </w:tblPr>
            <w:tblGrid>
              <w:gridCol w:w="4933"/>
              <w:gridCol w:w="4933"/>
            </w:tblGrid>
            <w:tr>
              <w:tc>
                <w:tcPr>
                  <w:tcW w:type="dxa" w:w="4933"/>
                  <w:shd w:fill="1F2A44" w:val="clear"/>
                  <w:tcBorders>
                    <w:top w:val="single" w:sz="8" w:space="0" w:color="1F2A44"/>
                    <w:left w:val="single" w:sz="8" w:space="0" w:color="1F2A44"/>
                    <w:bottom w:val="single" w:sz="8" w:space="0" w:color="1F2A44"/>
                    <w:right w:val="single" w:sz="8" w:space="0" w:color="1F2A44"/>
                  </w:tcBorders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>
                  <w:r>
                    <w:rPr>
                      <w:rFonts w:ascii="微软雅黑" w:hAnsi="微软雅黑" w:eastAsia="微软雅黑" w:cs="微软雅黑"/>
                      <w:b/>
                      <w:color w:val="FFFFFF"/>
                      <w:sz w:val="22"/>
                    </w:rPr>
                    <w:t>评论空间</w:t>
                  </w:r>
                </w:p>
              </w:tc>
              <w:tc>
                <w:tcPr>
                  <w:tcW w:type="dxa" w:w="4933"/>
                  <w:shd w:fill="1F2A44" w:val="clear"/>
                  <w:tcBorders>
                    <w:top w:val="single" w:sz="8" w:space="0" w:color="1F2A44"/>
                    <w:left w:val="single" w:sz="8" w:space="0" w:color="1F2A44"/>
                    <w:bottom w:val="single" w:sz="8" w:space="0" w:color="1F2A44"/>
                    <w:right w:val="single" w:sz="8" w:space="0" w:color="1F2A44"/>
                  </w:tcBorders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>
                  <w:r>
                    <w:rPr>
                      <w:rFonts w:ascii="微软雅黑" w:hAnsi="微软雅黑" w:eastAsia="微软雅黑" w:cs="微软雅黑"/>
                      <w:b/>
                      <w:color w:val="FFFFFF"/>
                      <w:sz w:val="22"/>
                    </w:rPr>
                    <w:t>细节关注</w:t>
                  </w:r>
                </w:p>
              </w:tc>
            </w:tr>
            <w:tr>
              <w:tc>
                <w:tcPr>
                  <w:tcW w:type="dxa" w:w="4933"/>
                  <w:shd w:fill="FAFBFC" w:val="clear"/>
                  <w:tcBorders>
                    <w:top w:val="single" w:sz="8" w:space="0" w:color="D0D5DD"/>
                    <w:left w:val="single" w:sz="8" w:space="0" w:color="D0D5DD"/>
                    <w:bottom w:val="single" w:sz="8" w:space="0" w:color="D0D5DD"/>
                    <w:right w:val="single" w:sz="8" w:space="0" w:color="D0D5DD"/>
                  </w:tcBorders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</w:tcPr>
                <w:p>
                  <w:r>
                    <w:rPr>
                      <w:rFonts w:ascii="微软雅黑" w:hAnsi="微软雅黑" w:eastAsia="微软雅黑" w:cs="微软雅黑"/>
                      <w:b w:val="0"/>
                      <w:color w:val="5C6473"/>
                      <w:sz w:val="18"/>
                    </w:rPr>
                    <w:t>写下观后感、疑问、可迁移到自己训练的点。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</w:tc>
              <w:tc>
                <w:tcPr>
                  <w:tcW w:type="dxa" w:w="4933"/>
                  <w:shd w:fill="FAFBFC" w:val="clear"/>
                  <w:tcBorders>
                    <w:top w:val="single" w:sz="8" w:space="0" w:color="D0D5DD"/>
                    <w:left w:val="single" w:sz="8" w:space="0" w:color="D0D5DD"/>
                    <w:bottom w:val="single" w:sz="8" w:space="0" w:color="D0D5DD"/>
                    <w:right w:val="single" w:sz="8" w:space="0" w:color="D0D5DD"/>
                  </w:tcBorders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</w:tcPr>
                <w:p>
                  <w:r>
                    <w:rPr>
                      <w:rFonts w:ascii="微软雅黑" w:hAnsi="微软雅黑" w:eastAsia="微软雅黑" w:cs="微软雅黑"/>
                      <w:b w:val="0"/>
                      <w:color w:val="5C6473"/>
                      <w:sz w:val="18"/>
                    </w:rPr>
                    <w:t>记下需要反复回看的时机、站位、脚步或口令。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spacing w:before="0" w:after="280" w:line="280" w:lineRule="exact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4F1EA" w:val="clear"/>
            <w:tcBorders>
              <w:top w:val="single" w:sz="12" w:space="0" w:color="C4A574"/>
              <w:left w:val="single" w:sz="12" w:space="0" w:color="C4A574"/>
              <w:bottom w:val="single" w:sz="12" w:space="0" w:color="C4A574"/>
              <w:right w:val="single" w:sz="12" w:space="0" w:color="C4A574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微软雅黑" w:hAnsi="微软雅黑" w:eastAsia="微软雅黑" w:cs="微软雅黑"/>
                <w:b/>
                <w:color w:val="C45C26"/>
                <w:sz w:val="28"/>
              </w:rPr>
              <w:t>2.</w:t>
            </w:r>
          </w:p>
          <w:p>
            <w:pPr>
              <w:spacing w:after="160"/>
            </w:pPr>
            <w:r>
              <w:rPr>
                <w:rFonts w:ascii="微软雅黑" w:hAnsi="微软雅黑" w:eastAsia="微软雅黑" w:cs="微软雅黑"/>
                <w:b/>
                <w:color w:val="1F2A44"/>
                <w:sz w:val="26"/>
              </w:rPr>
              <w:t>【KBT干货】如何才能打造铁血防守？今天KBT告诉你2个细节！</w:t>
            </w:r>
          </w:p>
          <w:p>
            <w:r>
              <w:rPr>
                <w:rFonts w:ascii="微软雅黑" w:hAnsi="微软雅黑" w:eastAsia="微软雅黑" w:cs="微软雅黑"/>
                <w:b w:val="0"/>
                <w:color w:val="5C6473"/>
                <w:sz w:val="18"/>
              </w:rPr>
              <w:t>二维码（扫码打开视频）</w:t>
            </w:r>
          </w:p>
          <w:p>
            <w:pPr>
              <w:spacing w:after="160"/>
            </w:pPr>
            <w:r>
              <w:drawing>
                <wp:inline xmlns:a="http://schemas.openxmlformats.org/drawingml/2006/main" xmlns:pic="http://schemas.openxmlformats.org/drawingml/2006/picture">
                  <wp:extent cx="1296000" cy="12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_延伸_BV11U4y1b7EV_二维码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12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autofit"/>
              <w:tblLook w:firstColumn="1" w:firstRow="1" w:lastColumn="0" w:lastRow="0" w:noHBand="0" w:noVBand="1" w:val="04A0"/>
            </w:tblPr>
            <w:tblGrid>
              <w:gridCol w:w="4933"/>
              <w:gridCol w:w="4933"/>
            </w:tblGrid>
            <w:tr>
              <w:tc>
                <w:tcPr>
                  <w:tcW w:type="dxa" w:w="4933"/>
                  <w:shd w:fill="1F2A44" w:val="clear"/>
                  <w:tcBorders>
                    <w:top w:val="single" w:sz="8" w:space="0" w:color="1F2A44"/>
                    <w:left w:val="single" w:sz="8" w:space="0" w:color="1F2A44"/>
                    <w:bottom w:val="single" w:sz="8" w:space="0" w:color="1F2A44"/>
                    <w:right w:val="single" w:sz="8" w:space="0" w:color="1F2A44"/>
                  </w:tcBorders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>
                  <w:r>
                    <w:rPr>
                      <w:rFonts w:ascii="微软雅黑" w:hAnsi="微软雅黑" w:eastAsia="微软雅黑" w:cs="微软雅黑"/>
                      <w:b/>
                      <w:color w:val="FFFFFF"/>
                      <w:sz w:val="22"/>
                    </w:rPr>
                    <w:t>评论空间</w:t>
                  </w:r>
                </w:p>
              </w:tc>
              <w:tc>
                <w:tcPr>
                  <w:tcW w:type="dxa" w:w="4933"/>
                  <w:shd w:fill="1F2A44" w:val="clear"/>
                  <w:tcBorders>
                    <w:top w:val="single" w:sz="8" w:space="0" w:color="1F2A44"/>
                    <w:left w:val="single" w:sz="8" w:space="0" w:color="1F2A44"/>
                    <w:bottom w:val="single" w:sz="8" w:space="0" w:color="1F2A44"/>
                    <w:right w:val="single" w:sz="8" w:space="0" w:color="1F2A44"/>
                  </w:tcBorders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>
                  <w:r>
                    <w:rPr>
                      <w:rFonts w:ascii="微软雅黑" w:hAnsi="微软雅黑" w:eastAsia="微软雅黑" w:cs="微软雅黑"/>
                      <w:b/>
                      <w:color w:val="FFFFFF"/>
                      <w:sz w:val="22"/>
                    </w:rPr>
                    <w:t>细节关注</w:t>
                  </w:r>
                </w:p>
              </w:tc>
            </w:tr>
            <w:tr>
              <w:tc>
                <w:tcPr>
                  <w:tcW w:type="dxa" w:w="4933"/>
                  <w:shd w:fill="FAFBFC" w:val="clear"/>
                  <w:tcBorders>
                    <w:top w:val="single" w:sz="8" w:space="0" w:color="D0D5DD"/>
                    <w:left w:val="single" w:sz="8" w:space="0" w:color="D0D5DD"/>
                    <w:bottom w:val="single" w:sz="8" w:space="0" w:color="D0D5DD"/>
                    <w:right w:val="single" w:sz="8" w:space="0" w:color="D0D5DD"/>
                  </w:tcBorders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</w:tcPr>
                <w:p>
                  <w:r>
                    <w:rPr>
                      <w:rFonts w:ascii="微软雅黑" w:hAnsi="微软雅黑" w:eastAsia="微软雅黑" w:cs="微软雅黑"/>
                      <w:b w:val="0"/>
                      <w:color w:val="5C6473"/>
                      <w:sz w:val="18"/>
                    </w:rPr>
                    <w:t>写下观后感、疑问、可迁移到自己训练的点。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</w:tc>
              <w:tc>
                <w:tcPr>
                  <w:tcW w:type="dxa" w:w="4933"/>
                  <w:shd w:fill="FAFBFC" w:val="clear"/>
                  <w:tcBorders>
                    <w:top w:val="single" w:sz="8" w:space="0" w:color="D0D5DD"/>
                    <w:left w:val="single" w:sz="8" w:space="0" w:color="D0D5DD"/>
                    <w:bottom w:val="single" w:sz="8" w:space="0" w:color="D0D5DD"/>
                    <w:right w:val="single" w:sz="8" w:space="0" w:color="D0D5DD"/>
                  </w:tcBorders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</w:tcPr>
                <w:p>
                  <w:r>
                    <w:rPr>
                      <w:rFonts w:ascii="微软雅黑" w:hAnsi="微软雅黑" w:eastAsia="微软雅黑" w:cs="微软雅黑"/>
                      <w:b w:val="0"/>
                      <w:color w:val="5C6473"/>
                      <w:sz w:val="18"/>
                    </w:rPr>
                    <w:t>记下需要反复回看的时机、站位、脚步或口令。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  <w:p>
                  <w:pPr>
                    <w:spacing w:after="160"/>
                  </w:pPr>
                  <w:r>
                    <w:rPr>
                      <w:rFonts w:ascii="微软雅黑" w:hAnsi="微软雅黑" w:eastAsia="微软雅黑" w:cs="微软雅黑"/>
                      <w:b w:val="0"/>
                      <w:sz w:val="22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spacing w:before="0" w:after="280" w:line="280" w:lineRule="exact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微软雅黑" w:hAnsi="微软雅黑" w:eastAsia="微软雅黑" w:cs="微软雅黑"/>
        <w:b w:val="0"/>
        <w:color w:val="5C6473"/>
        <w:sz w:val="16"/>
      </w:rPr>
      <w:t>录入目录  ·  单视频收录 / 综合拓展</w:t>
    </w:r>
    <w:r>
      <w:rPr>
        <w:rFonts w:ascii="微软雅黑" w:hAnsi="微软雅黑" w:eastAsia="微软雅黑" w:cs="微软雅黑"/>
        <w:b w:val="0"/>
        <w:color w:val="5C6473"/>
        <w:sz w:val="16"/>
      </w:rPr>
      <w:t xml:space="preserve">    </w:t>
    </w:r>
    <w:r>
      <w:rPr>
        <w:rFonts w:ascii="微软雅黑" w:hAnsi="微软雅黑" w:eastAsia="微软雅黑" w:cs="微软雅黑"/>
        <w:b w:val="0"/>
        <w:color w:val="5C6473"/>
        <w:sz w:val="16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微软雅黑" w:hAnsi="微软雅黑" w:eastAsia="微软雅黑" w:cs="微软雅黑"/>
        <w:b w:val="0"/>
        <w:color w:val="5C6473"/>
        <w:sz w:val="18"/>
      </w:rPr>
      <w:t>综合拓展  ·  视频综合目录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