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6B7C8A"/>
          <w:sz w:val="28"/>
        </w:rPr>
        <w:t>文献收录</w:t>
      </w:r>
    </w:p>
    <w:p>
      <w:pPr>
        <w:spacing w:after="320"/>
        <w:jc w:val="center"/>
      </w:pPr>
      <w:r>
        <w:rPr>
          <w:rFonts w:ascii="Calibri" w:hAnsi="Calibri" w:eastAsia="WenQuanYi Micro Hei" w:cs="Calibri"/>
          <w:b/>
          <w:i w:val="0"/>
          <w:color w:val="1F3A5F"/>
          <w:sz w:val="44"/>
        </w:rPr>
        <w:t>长期结构改变 2：近 20 年代补充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2C5F7C"/>
          <w:sz w:val="26"/>
        </w:rPr>
        <w:t>2015 年至今 · 中文 2 篇 + 外文 2 篇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对照底本：王丽杰 2011（心理学报）图二论点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时间窗：2015 年至今，越晚优先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中文 2 篇 + 外文 2 篇；体例同长期结构改变文献笔记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收录日期：2026-09-20</w:t>
      </w:r>
    </w:p>
    <w:p>
      <w:r>
        <w:br w:type="page"/>
      </w:r>
    </w:p>
    <w:p>
      <w:pPr>
        <w:spacing w:before="0" w:after="240" w:line="312" w:lineRule="auto"/>
        <w:jc w:val="center"/>
      </w:pPr>
      <w:r>
        <w:rPr>
          <w:rFonts w:ascii="Calibri" w:hAnsi="Calibri" w:eastAsia="WenQuanYi Micro Hei" w:cs="Calibri"/>
          <w:b/>
          <w:i w:val="0"/>
          <w:color w:val="1F3A5F"/>
          <w:sz w:val="36"/>
        </w:rPr>
        <w:t>长期结构改变 2：近 20 年代补充（2015 年至今）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整理日期：2026-09-20 对照底本：`长期结构改变_文献笔记` 中的王丽杰 2011（图二论点：特质焦虑个体更易双侧海马萎缩、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复杂认知下降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和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消极应对增加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；长期结构改变与不灵活适应策略同批出现）。 时间窗：2015 年至今，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越晚优先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。 体例：每篇给出出处、来源标注、超链接、简短数据、四点体现分析、主要结论（论点）。 说明：下列数据摘自原文摘要、结果段或综述中明确写出的数字；未拿到全文精确表的地方只写原文已经公开的方向和统计，不编造小数。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来源总则：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本文件 4 篇全部为【Cursor网搜】。图二是用户截图里的论点卡片，没有点名下面这些 2015 年后的篇目。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选篇意图（对应图二）：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F3A5F" w:val="clear"/>
          </w:tcPr>
          <w:p>
            <w:r/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篇</w:t>
            </w:r>
          </w:p>
        </w:tc>
        <w:tc>
          <w:tcPr>
            <w:tcW w:type="dxa" w:w="3061"/>
            <w:shd w:fill="1F3A5F" w:val="clear"/>
          </w:tcPr>
          <w:p>
            <w:r/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语种</w:t>
            </w:r>
          </w:p>
        </w:tc>
        <w:tc>
          <w:tcPr>
            <w:tcW w:type="dxa" w:w="3061"/>
            <w:shd w:fill="1F3A5F" w:val="clear"/>
          </w:tcPr>
          <w:p>
            <w:r/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与图二的关系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中文 1 张建国 等 2024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相同观点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军人现场；类特质的兴奋易感性像过滤器；积极应对倾向下降、消极应对上升，与更差的心理健康同批出现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中文 2 杨云芳 等 2023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不同表现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同样是职业慢性应激 + MRI，但灰质改变落在眶额 / 额中回（增大）和小脑（减小），</w:t>
            </w:r>
            <w:r>
              <w:rPr>
                <w:rFonts w:ascii="Calibri" w:hAnsi="Calibri" w:eastAsia="WenQuanYi Micro Hei" w:cs="Calibri"/>
                <w:b/>
                <w:i w:val="0"/>
                <w:color w:val="222222"/>
                <w:sz w:val="18"/>
              </w:rPr>
              <w:t>不是海马萎缩</w:t>
            </w:r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，且与倦怠量表分无显著相关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外文 1 Abe 等 2022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相同观点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职业现场（护士）结构改变与去人格化同向：控制 / 情绪回路灰质越小，人际上越冷漠、越不灵活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外文 2 Chmiel &amp; Kurpas 2025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不同表现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汇总职业倦怠 MRI 后认为：前额叶—纹状体—杏仁核有改变，</w:t>
            </w:r>
            <w:r>
              <w:rPr>
                <w:rFonts w:ascii="Calibri" w:hAnsi="Calibri" w:eastAsia="WenQuanYi Micro Hei" w:cs="Calibri"/>
                <w:b/>
                <w:i w:val="0"/>
                <w:color w:val="222222"/>
                <w:sz w:val="18"/>
              </w:rPr>
              <w:t>海马体积往往不受影响</w:t>
            </w:r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，与王丽杰 2011 的军人海马萎缩不是同一张结构配方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中文文献 1（相同观点）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张建国, 毛晓飞, 陈艾彬, 蔡文鹏, 邓文曦, 李自强, 董薇. 海军某部官兵兴奋易感性与心理健康状态的关系：心理弹性和应对倾向的链式中介作用. 《海军军医大学学报》（原《第二军医大学学报》）. 2024;45(2):227–232.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【Cursor网搜】图二只给了王丽杰 2011 的论点卡片，没有点名本篇。选这篇是因为它把“过滤器 + 消极应对”做到了更大、更晚的军人样本上。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9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HTML 全文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0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期刊摘要页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1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10.16781/j.CN31-2187/R.20230052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单位：海军军医大学心理系海军航空及特种心理学教研室。 类型：海军官兵横断面问卷 + 结构方程模型。 与图二：军人；类特质敏感是过滤器；应对倾向偏消极时心理健康更差。本篇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没有 MRI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发放 1 870 份，有效 1 865 份（99.7%）。工具：SRQ-20、CD-RISC、HSPS-10、简易应对方式问卷（SCSQ）。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SRQ-20 得分中位数 1（0，5）；≥ 7 分阳性 395/1 865（21.2%）。项目上最突出的是易疲劳 39.7%、睡眠差 34.3%、很难做决定 23.1%。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相关：心理健康状态（分高=更差）与兴奋易感性 r = 0.34，与心理弹性 r = -0.46，与应对倾向 r = -0.33（应对倾向 = 积极应对标准分 − 消极应对标准分；越高越偏积极）。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多元回归总解释率 30.1%（F = 201.96，P &lt; 0.01）。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Bootstrap 中介：兴奋易感性 → 心理健康的直接效应占 58.9%；经心理弹性 22.2%；经应对倾向 14.8%；心理弹性 → 应对倾向的链式路径 4.0%；总间接效应 41.1%。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过滤器还在：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兴奋易感性是感觉加工敏感性里偏“容易被压力淹没”的一端，和神经质、特质焦虑走得很近。同样在海军训练环境里，高敏感者心理健康更差——这是图二“特质焦虑是过滤器”的同构，只是量表换成了 HSPS-10。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行事层面看见的仍是回避式适应：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作者写明，兴奋易感性高的官兵更倾向消极应对；心理弹性越差，越愿意采用“更简单、更节省心理资源”的消极策略。这就是图二红线里的积极应对下降、消极应对上升。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复杂认知没有做作业测验，但症状已经指向负荷过高：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“很难做决定”进入前三主诉，疲劳和睡眠差并列。这是复杂作业变差的临床近邻，不是 Stroop / n-back 那种实验室证据。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缺结构一环：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能补图二的行为链，补不了海马。所以它证明的是“不灵活适应策略会在军人群体里稳定复现”，而不是“策略与萎缩同批出现”。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在当代海军样本里，类特质的高兴奋易感性仍能筛出心理更差、应对更消极的人；长期军事环境中的不灵活适应，不必等 MRI 也能在行事问卷上被测到。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中文文献 2（不同情况的不同表现）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杨云芳, 商莹莹, 佘东立, 韩琳. 职业倦怠护士大脑形态学结构改变的初步探索. 《国际精神病学杂志》. 2023;50(1):142–145.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【Cursor网搜】图二未点名本篇。选这篇是因为同属职业慢性应激 + 结构 MRI，但解剖落点与王丽杰 2011 不同。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12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期刊条目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3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PDF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单位：兰州大学护理相关团队（学位论文同源工作亦见兰州大学机构库）。 类型：护士职业倦怠 VBM。 与图二：有长期结构改变，但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不是双侧海马萎缩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，也没有报告复杂认知 / 应对方式。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职业倦怠护士 30 人，匹配无倦怠护士 29 人；静息 3D-T1，CAT12 / SPM12 做灰质体积 VBM。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倦怠组灰质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增大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：左侧眶部额上回、左侧眶部额中回、右侧额中回。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倦怠组灰质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减小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：右侧小脑 1 区、2 区、8 区（GRF 校正，单个体素 P &lt; 0.001，校正后 P &lt; 0.05）。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改变脑区与护士 MBI 各维度评分均无显著相关（P &gt; 0.05）。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摘要未报告海马、杏仁核或尾状核的组间差异。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职业现场确实还能看到形态学差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，这一点与图二“实验室 CA3 故事可以搬到真人职业场景”同向。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落点换了：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王丽杰是海马萎缩；这里是眶额 / 额中回体积增加 + 小脑减小。增大既可能是代偿性增生，也可能是方法学噪声，作者自己也只写成“萎缩或增生”。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结构与主观倦怠脱钩：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体积变了，却和 MBI 分对不上。图二的力量在于海马—复杂认知—消极应对绑在同一批人身上；本篇把这条绑带解开了。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样本小、横断面、无认知作业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，所以它适合当“不同表现”的对照，不适合用来否定军人海马发现。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中国职业倦怠护士的 MRI 改变可以出现在额眶和小脑，而不必复制军人样本里的双侧海马萎缩；长期结构改变的解剖配方随职业、症状维度和成像方法而分叉。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外文文献 1（相同观点）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Abe K, Tei S, Takahashi H, Fujino J. Structural brain correlates of burnout severity in medical professionals: A voxel-based morphometric study. *Neuroscience Letters*. 2022;772:136484.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【Cursor网搜】图二未点名本篇。选这篇是因为职业慢性应激下，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结构减配与不灵活的人际适应（去人格化）同向出现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14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10.1016/j.neulet.2022.136484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5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PMC 9758014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6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ScienceDirect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单位：东京医科齿科大学 / 昭和大学等。 类型：在职护士结构 MRI（VBM）与倦怠维度相关。 与图二：职业现场；控制回路灰质越小，去人格化越高——去人格化就是把人当物、情感关闭，属于行事上的保守 / 回避。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在职护士 43 人（女 32），结构 MRI + 情绪耗竭、去人格化自评。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情绪耗竭越高，双侧腹内侧前额叶（vmPFC）和左侧岛叶灰质体积越小。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去人格化越高，左侧 vmPFC 和左侧丘脑灰质体积越小。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后续综述引用本篇时补充：海马灰质与情绪耗竭 / 去人格化无显著关联——结构打击在前额叶—岛叶—丘脑，不在海马。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又一次把慢性职业应激写成可见的灰质差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，不必是战争或童年虐待。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不灵活发生在人际策略上：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去人格化不是认知测验分数，而是对病人 / 同事关掉共情。这和图二“环境适应往保守、回避走”是同一类行事，只是场景从军事训练换成病房。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vmPFC 是再评估和情绪下调的瓶颈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；它变小，和 Savic 系列里前额叶变薄、下调负性情绪变差是一条路上的不同尺子。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海马不是这篇的主角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，所以它支持的是“结构改变 + 不灵活策略同批出现”，不是“一定是海马萎缩”。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在职业倦怠的护士身上，腹内侧前额叶—岛叶—丘脑灰质越小，情绪耗竭和去人格化越重；长期结构减配与不灵活的适应策略可以在没有军事训练、也不依赖海马萎缩的人群里同时出现。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外文文献 2（不同情况的不同表现）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Chmiel J, Kurpas D. Burnout and the Brain—A Mechanistic Review of Magnetic Resonance Imaging (MRI) Studies. *International Journal of Molecular Sciences*. 2025;26(17):8379.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【Cursor网搜】图二未点名本篇。选这篇是目前能检索到的、专门讨论职业倦怠 MRI 机制、且把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海马“经常不被打到”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写成与 PTSD / 抑郁对照的较新综述（检索截止 2025-05，发表 2025-08-28）。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17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10.3390/ijms26178379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8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MDPI 页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9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PMC 12429168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单位：什切青神经反馈与 tDCS 研究所、弗罗茨瓦夫医科大学。 类型：按 PRISMA 原则改编的机制性综述（17 项临床 MRI，约 1 365 人扫描，其中倦怠 / 耗竭约 880，对照约 470）。 与图二：承认前额叶、纹状体、杏仁核的长期结构改变，但认为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职业倦怠并不稳定复制海马萎缩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检索 2000-01 至 2025-05，纳入 17 项英文、有 MRI 结局、有验证过的倦怠诊断的临床研究。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结构形态学（8/17）：较一致的是杏仁核增大（以女性为著），以及腹内侧前额叶、尾状核—壳核灰质减少。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作者对测过海马的研究的归纳是：全海马或 CA1–CA4 / 齿状回亚区与匹配对照无差异；护士 VBM（即上面 Abe 2022）里海马也不随耗竭 / 去人格化变；办公室职业应激的手工体积测量里尾状核 / 壳核变小但海马与对照难分；Savic 随访里尾状核和前额叶可部分回到对照，海马两个时间点都稳定。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功能像（9/17）：额皮质过度激活、杏仁核—ACC 耦合减弱、富俱乐部网络碎片化。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两项纵向和若干干预亚研究：正念、运动、CBT、神经反馈或 rTMS 后，皮层变薄和边缘高反应可部分逆转。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相同的那一半：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职业慢性应激仍留下 MRI 可见的前额叶减配、纹状体减配、女性杏仁核超配——这和图二“长期结构改变是真的”不打架。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不同的那一半：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图二把军人高特质焦虑亚组的海马萎缩写成核心结构事实；本综述把职业倦怠的海马写成“结构上相对硬朗”，用来和 PTSD、抑郁症划界。应激类型（军事高强度训练 vs 职业耗竭）、筛法（SCL-90 焦虑因子 ≥ 3 vs MBI）和性别构成都可能把海马从“主灶”变成“不显著”。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不灵活不一定要海马先塌：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综述强调执行过度代偿和网络效率下降；复杂认知变差可以先是功能连接和纹状体的事。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可逆性再次出现：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压力或干预下来之后，前额叶 / 尾状核比杏仁核更容易往对照靠——这和 2017/2018 年 Savic 结构随访同向，说明“改完就锁死”不是默认结局。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2015 年以后的职业倦怠 MRI 证据支持“长期结构改变”，但配方更常是前额叶—纹状体—杏仁核，而不是王丽杰 2011 军人亚组里的双侧海马萎缩；海马是否缩小，取决于应激种类、人群和筛法，不能当成所有慢性应激的统一结局。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四篇合读后的总论点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图二的行事句子在 2024 年的军人样本里仍然成立：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类特质敏感者更倾向消极应对，心理健康更差。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图二的结构句子不能原样推广到所有职业应激：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护士 VBM 和 2025 年综述都显示，慢性职业负荷可以改前额叶、小脑或纹状体，而海马保持不显著。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“结构改变 + 不灵活适应同批出现”仍然是一条有用的总纲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，只是结构落点（海马 / vmPFC / 尾状核 / 小脑）和“不灵活”的尺子（消极应对 / 去人格化 / 心理疲劳）会换。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越晚的文献越提醒方法边界：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筛查切点、MBI 阈值、性别比和有没有对照，会决定你看见的是海马故事还是前额叶—纹状体故事。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tml.rhhz.net/dejydxxb/html/2024/2/20230052.htm" TargetMode="External"/><Relationship Id="rId10" Type="http://schemas.openxmlformats.org/officeDocument/2006/relationships/hyperlink" Target="https://xuebao.smmu.edu.cn/ajsmmu/article/abstract/20230052" TargetMode="External"/><Relationship Id="rId11" Type="http://schemas.openxmlformats.org/officeDocument/2006/relationships/hyperlink" Target="https://doi.org/10.16781/j.CN31-2187/R.20230052" TargetMode="External"/><Relationship Id="rId12" Type="http://schemas.openxmlformats.org/officeDocument/2006/relationships/hyperlink" Target="https://js.dnzh.org/magazine/contriution/12700" TargetMode="External"/><Relationship Id="rId13" Type="http://schemas.openxmlformats.org/officeDocument/2006/relationships/hyperlink" Target="https://js.dnzh.org/FileUpload/PdfFile/20230323151835.pdf" TargetMode="External"/><Relationship Id="rId14" Type="http://schemas.openxmlformats.org/officeDocument/2006/relationships/hyperlink" Target="https://doi.org/10.1016/j.neulet.2022.136484" TargetMode="External"/><Relationship Id="rId15" Type="http://schemas.openxmlformats.org/officeDocument/2006/relationships/hyperlink" Target="https://pmc.ncbi.nlm.nih.gov/articles/PMC9758014/" TargetMode="External"/><Relationship Id="rId16" Type="http://schemas.openxmlformats.org/officeDocument/2006/relationships/hyperlink" Target="https://www.sciencedirect.com/science/article/pii/S0304394022000416" TargetMode="External"/><Relationship Id="rId17" Type="http://schemas.openxmlformats.org/officeDocument/2006/relationships/hyperlink" Target="https://doi.org/10.3390/ijms26178379" TargetMode="External"/><Relationship Id="rId18" Type="http://schemas.openxmlformats.org/officeDocument/2006/relationships/hyperlink" Target="https://www.mdpi.com/1422-0067/26/17/8379" TargetMode="External"/><Relationship Id="rId19" Type="http://schemas.openxmlformats.org/officeDocument/2006/relationships/hyperlink" Target="https://pmc.ncbi.nlm.nih.gov/articles/PMC1242916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