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墨苍离分析13521字</w:t>
      </w:r>
    </w:p>
    <w:p>
      <w:pPr>
        <w:pStyle w:val="Heading1"/>
      </w:pPr>
      <w:r>
        <w:t>统计结论</w:t>
      </w:r>
    </w:p>
    <w:p>
      <w:pPr>
        <w:pStyle w:val="ListBullet"/>
      </w:pPr>
      <w:r>
        <w:t>截图数量：20张（1.png—17.png、18-1.png—18-3.png）。</w:t>
      </w:r>
    </w:p>
    <w:p>
      <w:pPr>
        <w:pStyle w:val="ListBullet"/>
      </w:pPr>
      <w:r>
        <w:t>正文估算字数：13,521字。</w:t>
      </w:r>
    </w:p>
    <w:p>
      <w:pPr>
        <w:pStyle w:val="ListBullet"/>
      </w:pPr>
      <w:r>
        <w:t>标题数量：大标题9个，中标题38个，严格意义上的独立小标题0个。</w:t>
      </w:r>
    </w:p>
    <w:p>
      <w:r>
        <w:rPr>
          <w:rFonts w:ascii="宋体" w:hAnsi="宋体" w:eastAsia="宋体"/>
          <w:color w:val="5F5F5F"/>
          <w:sz w:val="18"/>
        </w:rPr>
        <w:t>口径：对连续截图进行去重，排除网页导航、广告、评论区、编辑时间等界面文字；保留文章标题、正文、Prompt、模型回复、英文图像Prompt及灰色引用。字数按13,235个汉字＋191个英文单词＋95个数字项计，共13,521。由于来源是截图并经过OCR，数字应视为可复核估算值，而非原始网页后台精确值。</w:t>
      </w:r>
    </w:p>
    <w:p>
      <w:pPr>
        <w:pStyle w:val="Heading1"/>
      </w:pPr>
      <w:r>
        <w:t>标题分级规则</w:t>
      </w:r>
    </w:p>
    <w:p>
      <w:r>
        <w:t>大标题指文章作者独立设置的主要段落标题；中标题指模型回复内部的编号主题或总结标题；“A面”“B面”“原文引用”“核心观点”“文中证据”等属于行内结构标签，不单列为小标题。因此原文没有稳定、独立的第三级标题，小标题计0个。</w:t>
      </w:r>
    </w:p>
    <w:p>
      <w:pPr>
        <w:pStyle w:val="Heading1"/>
      </w:pPr>
      <w:r>
        <w:t>大标题：9个</w:t>
      </w:r>
    </w:p>
    <w:p>
      <w:r>
        <w:rPr>
          <w:rFonts w:ascii="黑体" w:hAnsi="黑体" w:eastAsia="黑体"/>
          <w:b/>
          <w:sz w:val="24"/>
        </w:rPr>
        <w:t>1. 警告</w:t>
      </w:r>
    </w:p>
    <w:p>
      <w:pPr>
        <w:ind w:left="360"/>
      </w:pPr>
      <w:r>
        <w:t>说明AI内容偏见、样本只覆盖最高赞1024篇且不含付费内容，并提醒长上下文模型可能产生幻觉。</w:t>
      </w:r>
    </w:p>
    <w:p>
      <w:r>
        <w:rPr>
          <w:rFonts w:ascii="黑体" w:hAnsi="黑体" w:eastAsia="黑体"/>
          <w:b/>
          <w:sz w:val="24"/>
        </w:rPr>
        <w:t>2. 逻辑是否严密</w:t>
      </w:r>
    </w:p>
    <w:p>
      <w:pPr>
        <w:ind w:left="360"/>
      </w:pPr>
      <w:r>
        <w:t>先让模型寻找作者观点的内在矛盾并评分，再要求加入作者原文作证，形成初析与引文重构两轮分析。</w:t>
      </w:r>
    </w:p>
    <w:p>
      <w:r>
        <w:rPr>
          <w:rFonts w:ascii="黑体" w:hAnsi="黑体" w:eastAsia="黑体"/>
          <w:b/>
          <w:sz w:val="24"/>
        </w:rPr>
        <w:t>3. 哲学上分析</w:t>
      </w:r>
    </w:p>
    <w:p>
      <w:pPr>
        <w:ind w:left="360"/>
      </w:pPr>
      <w:r>
        <w:t>以拉康、黑格尔及齐泽克式意识形态批判重新解释作者话语，讨论大他者、犬儒理性、享乐与主奴关系。</w:t>
      </w:r>
    </w:p>
    <w:p>
      <w:r>
        <w:rPr>
          <w:rFonts w:ascii="黑体" w:hAnsi="黑体" w:eastAsia="黑体"/>
          <w:b/>
          <w:sz w:val="24"/>
        </w:rPr>
        <w:t>4. 人物侧写</w:t>
      </w:r>
    </w:p>
    <w:p>
      <w:pPr>
        <w:ind w:left="360"/>
      </w:pPr>
      <w:r>
        <w:t>根据文本中的经历、知识、情绪和职业线索推测作者的年龄、地域、教育、职业、人格防御与人生阶段。</w:t>
      </w:r>
    </w:p>
    <w:p>
      <w:r>
        <w:rPr>
          <w:rFonts w:ascii="黑体" w:hAnsi="黑体" w:eastAsia="黑体"/>
          <w:b/>
          <w:sz w:val="24"/>
        </w:rPr>
        <w:t>5. 真·形象素描</w:t>
      </w:r>
    </w:p>
    <w:p>
      <w:pPr>
        <w:ind w:left="360"/>
      </w:pPr>
      <w:r>
        <w:t>让Gemini生成英文图像Prompt，再交给图像模型绘制一位北京书房中的中年男性形象；作者注明仅供娱乐。</w:t>
      </w:r>
    </w:p>
    <w:p>
      <w:r>
        <w:rPr>
          <w:rFonts w:ascii="黑体" w:hAnsi="黑体" w:eastAsia="黑体"/>
          <w:b/>
          <w:sz w:val="24"/>
        </w:rPr>
        <w:t>6. 对建制的看法</w:t>
      </w:r>
    </w:p>
    <w:p>
      <w:pPr>
        <w:ind w:left="360"/>
      </w:pPr>
      <w:r>
        <w:t>分析作者如何去魅教育、职场、专家和组织，同时主张利用建制资源、保持独立，并敬畏国家机器与周期。</w:t>
      </w:r>
    </w:p>
    <w:p>
      <w:r>
        <w:rPr>
          <w:rFonts w:ascii="黑体" w:hAnsi="黑体" w:eastAsia="黑体"/>
          <w:b/>
          <w:sz w:val="24"/>
        </w:rPr>
        <w:t>7. 作者有“神化”自己吗</w:t>
      </w:r>
    </w:p>
    <w:p>
      <w:pPr>
        <w:ind w:left="360"/>
      </w:pPr>
      <w:r>
        <w:t>讨论作者是否通过全知姿态、守夜人叙事、预测展示、教主化语言和受难形象建立个人权威。</w:t>
      </w:r>
    </w:p>
    <w:p>
      <w:r>
        <w:rPr>
          <w:rFonts w:ascii="黑体" w:hAnsi="黑体" w:eastAsia="黑体"/>
          <w:b/>
          <w:sz w:val="24"/>
        </w:rPr>
        <w:t>8. AI打分</w:t>
      </w:r>
    </w:p>
    <w:p>
      <w:pPr>
        <w:ind w:left="360"/>
      </w:pPr>
      <w:r>
        <w:t>要求模型以知乎答主视角评估功过和专业度；模型给出功六过四、8.5分，并分别列出贡献、风险与适用人群。</w:t>
      </w:r>
    </w:p>
    <w:p>
      <w:r>
        <w:rPr>
          <w:rFonts w:ascii="黑体" w:hAnsi="黑体" w:eastAsia="黑体"/>
          <w:b/>
          <w:sz w:val="24"/>
        </w:rPr>
        <w:t>9. 我自己的想法</w:t>
      </w:r>
    </w:p>
    <w:p>
      <w:pPr>
        <w:ind w:left="360"/>
      </w:pPr>
      <w:r>
        <w:t>文章作者引用目标作者对攻击性表达的反省，并说明高赞旧文不代表当前水平、自己的阅读有限且AI结果仅供启发。</w:t>
      </w:r>
    </w:p>
    <w:p>
      <w:pPr>
        <w:pStyle w:val="Heading1"/>
      </w:pPr>
      <w:r>
        <w:t>中标题：38个</w:t>
      </w:r>
    </w:p>
    <w:p>
      <w:pPr>
        <w:pStyle w:val="Heading2"/>
      </w:pPr>
      <w:r>
        <w:t>逻辑是否严密：初次分析</w:t>
      </w:r>
    </w:p>
    <w:p>
      <w:r>
        <w:rPr>
          <w:rFonts w:ascii="黑体" w:hAnsi="黑体" w:eastAsia="黑体"/>
          <w:b/>
          <w:sz w:val="22"/>
        </w:rPr>
        <w:t>1. 1. “宿命论”与“主观能动性”的终极悖论</w:t>
      </w:r>
    </w:p>
    <w:p>
      <w:pPr>
        <w:ind w:left="360"/>
      </w:pPr>
      <w:r>
        <w:t>决定论式诊断与可操作的自救方案互相拉扯。</w:t>
      </w:r>
    </w:p>
    <w:p>
      <w:r>
        <w:rPr>
          <w:rFonts w:ascii="黑体" w:hAnsi="黑体" w:eastAsia="黑体"/>
          <w:b/>
          <w:sz w:val="22"/>
        </w:rPr>
        <w:t>2. 2. “视万物为狗”与“我不入地狱谁入地狱”</w:t>
      </w:r>
    </w:p>
    <w:p>
      <w:pPr>
        <w:ind w:left="360"/>
      </w:pPr>
      <w:r>
        <w:t>鄙视大众，却持续输出并试图唤醒少数读者。</w:t>
      </w:r>
    </w:p>
    <w:p>
      <w:r>
        <w:rPr>
          <w:rFonts w:ascii="黑体" w:hAnsi="黑体" w:eastAsia="黑体"/>
          <w:b/>
          <w:sz w:val="22"/>
        </w:rPr>
        <w:t>3. 3. “反道德/利益至上”与“极高的道德底线要求”</w:t>
      </w:r>
    </w:p>
    <w:p>
      <w:pPr>
        <w:ind w:left="360"/>
      </w:pPr>
      <w:r>
        <w:t>解构道德工具性，同时守护爱国诚信等底线。</w:t>
      </w:r>
    </w:p>
    <w:p>
      <w:r>
        <w:rPr>
          <w:rFonts w:ascii="黑体" w:hAnsi="黑体" w:eastAsia="黑体"/>
          <w:b/>
          <w:sz w:val="22"/>
        </w:rPr>
        <w:t>4. 4. 对“情绪”的贬低与“情绪”的滥用</w:t>
      </w:r>
    </w:p>
    <w:p>
      <w:pPr>
        <w:ind w:left="360"/>
      </w:pPr>
      <w:r>
        <w:t>提倡绝对理性，文章却依靠强烈情绪推动读者。</w:t>
      </w:r>
    </w:p>
    <w:p>
      <w:r>
        <w:rPr>
          <w:rFonts w:ascii="黑体" w:hAnsi="黑体" w:eastAsia="黑体"/>
          <w:b/>
          <w:sz w:val="22"/>
        </w:rPr>
        <w:t>5. 5. 关于“人际关系”的疏离与操控</w:t>
      </w:r>
    </w:p>
    <w:p>
      <w:pPr>
        <w:ind w:left="360"/>
      </w:pPr>
      <w:r>
        <w:t>一面主张独处，一面教授复杂的社交控制技巧。</w:t>
      </w:r>
    </w:p>
    <w:p>
      <w:r>
        <w:rPr>
          <w:rFonts w:ascii="黑体" w:hAnsi="黑体" w:eastAsia="黑体"/>
          <w:b/>
          <w:sz w:val="22"/>
        </w:rPr>
        <w:t>6. 总结</w:t>
      </w:r>
    </w:p>
    <w:p>
      <w:pPr>
        <w:ind w:left="360"/>
      </w:pPr>
      <w:r>
        <w:t>归纳其为以“非人化”方法追求人格自由的矛盾体。</w:t>
      </w:r>
    </w:p>
    <w:p>
      <w:pPr>
        <w:pStyle w:val="Heading2"/>
      </w:pPr>
      <w:r>
        <w:t>逻辑是否严密：引文重构</w:t>
      </w:r>
    </w:p>
    <w:p>
      <w:r>
        <w:rPr>
          <w:rFonts w:ascii="黑体" w:hAnsi="黑体" w:eastAsia="黑体"/>
          <w:b/>
          <w:sz w:val="22"/>
        </w:rPr>
        <w:t>7. 1. “决定论的绝望”与“方法论的狂热”</w:t>
      </w:r>
    </w:p>
    <w:p>
      <w:pPr>
        <w:ind w:left="360"/>
      </w:pPr>
      <w:r>
        <w:t>用原文并置命运锁定与训练改变命运两类主张。</w:t>
      </w:r>
    </w:p>
    <w:p>
      <w:r>
        <w:rPr>
          <w:rFonts w:ascii="黑体" w:hAnsi="黑体" w:eastAsia="黑体"/>
          <w:b/>
          <w:sz w:val="22"/>
        </w:rPr>
        <w:t>8. 2. “视万物为狗”与“我不入地狱谁入地狱”</w:t>
      </w:r>
    </w:p>
    <w:p>
      <w:pPr>
        <w:ind w:left="360"/>
      </w:pPr>
      <w:r>
        <w:t>用原文呈现冷漠精英主义与传道责任并存。</w:t>
      </w:r>
    </w:p>
    <w:p>
      <w:r>
        <w:rPr>
          <w:rFonts w:ascii="黑体" w:hAnsi="黑体" w:eastAsia="黑体"/>
          <w:b/>
          <w:sz w:val="22"/>
        </w:rPr>
        <w:t>9. 3. “彻底的功利主义”与“朴素的家国情怀”</w:t>
      </w:r>
    </w:p>
    <w:p>
      <w:pPr>
        <w:ind w:left="360"/>
      </w:pPr>
      <w:r>
        <w:t>个人层面重利益，宏观层面推崇牺牲与英雄。</w:t>
      </w:r>
    </w:p>
    <w:p>
      <w:r>
        <w:rPr>
          <w:rFonts w:ascii="黑体" w:hAnsi="黑体" w:eastAsia="黑体"/>
          <w:b/>
          <w:sz w:val="22"/>
        </w:rPr>
        <w:t>10. 4. “去情绪化”与“极度的情绪化表达”</w:t>
      </w:r>
    </w:p>
    <w:p>
      <w:pPr>
        <w:ind w:left="360"/>
      </w:pPr>
      <w:r>
        <w:t>以情绪稳定为原则，却经常进行攻击性输出。</w:t>
      </w:r>
    </w:p>
    <w:p>
      <w:r>
        <w:rPr>
          <w:rFonts w:ascii="黑体" w:hAnsi="黑体" w:eastAsia="黑体"/>
          <w:b/>
          <w:sz w:val="22"/>
        </w:rPr>
        <w:t>11. 5. “社交虚无”与“社交操控”</w:t>
      </w:r>
    </w:p>
    <w:p>
      <w:pPr>
        <w:ind w:left="360"/>
      </w:pPr>
      <w:r>
        <w:t>认为社交无效，同时把社交视为精密RPG游戏。</w:t>
      </w:r>
    </w:p>
    <w:p>
      <w:r>
        <w:rPr>
          <w:rFonts w:ascii="黑体" w:hAnsi="黑体" w:eastAsia="黑体"/>
          <w:b/>
          <w:sz w:val="22"/>
        </w:rPr>
        <w:t>12. 终极总结：一个试图将自己“非人化”的人本主义者</w:t>
      </w:r>
    </w:p>
    <w:p>
      <w:pPr>
        <w:ind w:left="360"/>
      </w:pPr>
      <w:r>
        <w:t>以残酷机械语言追求温情、自救和自由意志。</w:t>
      </w:r>
    </w:p>
    <w:p>
      <w:pPr>
        <w:pStyle w:val="Heading2"/>
      </w:pPr>
      <w:r>
        <w:t>哲学上分析</w:t>
      </w:r>
    </w:p>
    <w:p>
      <w:r>
        <w:rPr>
          <w:rFonts w:ascii="黑体" w:hAnsi="黑体" w:eastAsia="黑体"/>
          <w:b/>
          <w:sz w:val="22"/>
        </w:rPr>
        <w:t>13. 1. “假设知道的主体”与大他者的置换</w:t>
      </w:r>
    </w:p>
    <w:p>
      <w:pPr>
        <w:ind w:left="360"/>
      </w:pPr>
      <w:r>
        <w:t>摧毁旧权威后，把认知规律和自己立为新权威。</w:t>
      </w:r>
    </w:p>
    <w:p>
      <w:r>
        <w:rPr>
          <w:rFonts w:ascii="黑体" w:hAnsi="黑体" w:eastAsia="黑体"/>
          <w:b/>
          <w:sz w:val="22"/>
        </w:rPr>
        <w:t>14. 2. “犬儒理性”：看透了，所以更要顺从</w:t>
      </w:r>
    </w:p>
    <w:p>
      <w:pPr>
        <w:ind w:left="360"/>
      </w:pPr>
      <w:r>
        <w:t>揭露异化，却要求个体更彻底地适应丛林规则。</w:t>
      </w:r>
    </w:p>
    <w:p>
      <w:r>
        <w:rPr>
          <w:rFonts w:ascii="黑体" w:hAnsi="黑体" w:eastAsia="黑体"/>
          <w:b/>
          <w:sz w:val="22"/>
        </w:rPr>
        <w:t>15. 3. 对“实在界”的防御性虚构</w:t>
      </w:r>
    </w:p>
    <w:p>
      <w:pPr>
        <w:ind w:left="360"/>
      </w:pPr>
      <w:r>
        <w:t>用生物化、公式化解释抵御生活的不确定和创伤。</w:t>
      </w:r>
    </w:p>
    <w:p>
      <w:r>
        <w:rPr>
          <w:rFonts w:ascii="黑体" w:hAnsi="黑体" w:eastAsia="黑体"/>
          <w:b/>
          <w:sz w:val="22"/>
        </w:rPr>
        <w:t>16. 4. “剩余享乐”的剥削</w:t>
      </w:r>
    </w:p>
    <w:p>
      <w:pPr>
        <w:ind w:left="360"/>
      </w:pPr>
      <w:r>
        <w:t>攻击性文本同时提供俯视他人与被鞭策的快感。</w:t>
      </w:r>
    </w:p>
    <w:p>
      <w:r>
        <w:rPr>
          <w:rFonts w:ascii="黑体" w:hAnsi="黑体" w:eastAsia="黑体"/>
          <w:b/>
          <w:sz w:val="22"/>
        </w:rPr>
        <w:t>17. 5. 精神分析视角下的“自恋性防御”</w:t>
      </w:r>
    </w:p>
    <w:p>
      <w:pPr>
        <w:ind w:left="360"/>
      </w:pPr>
      <w:r>
        <w:t>以全能理性和控制欲防御依赖、受伤和不可控。</w:t>
      </w:r>
    </w:p>
    <w:p>
      <w:r>
        <w:rPr>
          <w:rFonts w:ascii="黑体" w:hAnsi="黑体" w:eastAsia="黑体"/>
          <w:b/>
          <w:sz w:val="22"/>
        </w:rPr>
        <w:t>18. 总结：黑格尔的主奴辩证法</w:t>
      </w:r>
    </w:p>
    <w:p>
      <w:pPr>
        <w:ind w:left="360"/>
      </w:pPr>
      <w:r>
        <w:t>教普通人内化强者逻辑，可能延续而非超越主奴关系。</w:t>
      </w:r>
    </w:p>
    <w:p>
      <w:pPr>
        <w:pStyle w:val="Heading2"/>
      </w:pPr>
      <w:r>
        <w:t>人物侧写</w:t>
      </w:r>
    </w:p>
    <w:p>
      <w:r>
        <w:rPr>
          <w:rFonts w:ascii="黑体" w:hAnsi="黑体" w:eastAsia="黑体"/>
          <w:b/>
          <w:sz w:val="22"/>
        </w:rPr>
        <w:t>19. 一、基础画像：野蛮生长时代的幸存者</w:t>
      </w:r>
    </w:p>
    <w:p>
      <w:pPr>
        <w:ind w:left="360"/>
      </w:pPr>
      <w:r>
        <w:t>推测年龄、山东背景、理工教育、跨界职业与阶层。</w:t>
      </w:r>
    </w:p>
    <w:p>
      <w:r>
        <w:rPr>
          <w:rFonts w:ascii="黑体" w:hAnsi="黑体" w:eastAsia="黑体"/>
          <w:b/>
          <w:sz w:val="22"/>
        </w:rPr>
        <w:t>20. 二、人生经历复盘：从“古惑仔”到“马基雅维利信徒”</w:t>
      </w:r>
    </w:p>
    <w:p>
      <w:pPr>
        <w:ind w:left="360"/>
      </w:pPr>
      <w:r>
        <w:t>把少年冲突、互联网红利和中年转型串成经历线。</w:t>
      </w:r>
    </w:p>
    <w:p>
      <w:r>
        <w:rPr>
          <w:rFonts w:ascii="黑体" w:hAnsi="黑体" w:eastAsia="黑体"/>
          <w:b/>
          <w:sz w:val="22"/>
        </w:rPr>
        <w:t>21. 三、心理与人格深度侧写：防御性自恋</w:t>
      </w:r>
    </w:p>
    <w:p>
      <w:pPr>
        <w:ind w:left="360"/>
      </w:pPr>
      <w:r>
        <w:t>讨论失控恐惧、理智化防御和隐秘英雄主义。</w:t>
      </w:r>
    </w:p>
    <w:p>
      <w:r>
        <w:rPr>
          <w:rFonts w:ascii="黑体" w:hAnsi="黑体" w:eastAsia="黑体"/>
          <w:b/>
          <w:sz w:val="22"/>
        </w:rPr>
        <w:t>22. 四、他现在处于什么样的人生阶段？</w:t>
      </w:r>
    </w:p>
    <w:p>
      <w:pPr>
        <w:ind w:left="360"/>
      </w:pPr>
      <w:r>
        <w:t>推测其在资本积累后以布道和输出对抗虚无。</w:t>
      </w:r>
    </w:p>
    <w:p>
      <w:pPr>
        <w:pStyle w:val="Heading2"/>
      </w:pPr>
      <w:r>
        <w:t>对建制的看法</w:t>
      </w:r>
    </w:p>
    <w:p>
      <w:r>
        <w:rPr>
          <w:rFonts w:ascii="黑体" w:hAnsi="黑体" w:eastAsia="黑体"/>
          <w:b/>
          <w:sz w:val="22"/>
        </w:rPr>
        <w:t>23. 1. 建制的本质：草台班子与熵增机器</w:t>
      </w:r>
    </w:p>
    <w:p>
      <w:pPr>
        <w:ind w:left="360"/>
      </w:pPr>
      <w:r>
        <w:t>认为成熟组织会形式化、低效化并维护既得利益。</w:t>
      </w:r>
    </w:p>
    <w:p>
      <w:r>
        <w:rPr>
          <w:rFonts w:ascii="黑体" w:hAnsi="黑体" w:eastAsia="黑体"/>
          <w:b/>
          <w:sz w:val="22"/>
        </w:rPr>
        <w:t>24. 2. 建制的目的：筛选“标准件”而非培养人才</w:t>
      </w:r>
    </w:p>
    <w:p>
      <w:pPr>
        <w:ind w:left="360"/>
      </w:pPr>
      <w:r>
        <w:t>教育与职场主要筛选服从、耐受和可用性。</w:t>
      </w:r>
    </w:p>
    <w:p>
      <w:r>
        <w:rPr>
          <w:rFonts w:ascii="黑体" w:hAnsi="黑体" w:eastAsia="黑体"/>
          <w:b/>
          <w:sz w:val="22"/>
        </w:rPr>
        <w:t>25. 3. 建制的手段：显学欺骗与道德绑架</w:t>
      </w:r>
    </w:p>
    <w:p>
      <w:pPr>
        <w:ind w:left="360"/>
      </w:pPr>
      <w:r>
        <w:t>公开规范用于规训，真正有效的隐性规则不公开。</w:t>
      </w:r>
    </w:p>
    <w:p>
      <w:r>
        <w:rPr>
          <w:rFonts w:ascii="黑体" w:hAnsi="黑体" w:eastAsia="黑体"/>
          <w:b/>
          <w:sz w:val="22"/>
        </w:rPr>
        <w:t>26. 4. 对建制的态度：寄生与博弈</w:t>
      </w:r>
    </w:p>
    <w:p>
      <w:pPr>
        <w:ind w:left="360"/>
      </w:pPr>
      <w:r>
        <w:t>获取学历、组织和人脉资源，但不接受其价值规训。</w:t>
      </w:r>
    </w:p>
    <w:p>
      <w:r>
        <w:rPr>
          <w:rFonts w:ascii="黑体" w:hAnsi="黑体" w:eastAsia="黑体"/>
          <w:b/>
          <w:sz w:val="22"/>
        </w:rPr>
        <w:t>27. 5. 对“强力建制”的敬畏与依赖</w:t>
      </w:r>
    </w:p>
    <w:p>
      <w:pPr>
        <w:ind w:left="360"/>
      </w:pPr>
      <w:r>
        <w:t>批评具体官僚，却敬畏国家能力和历史周期。</w:t>
      </w:r>
    </w:p>
    <w:p>
      <w:r>
        <w:rPr>
          <w:rFonts w:ascii="黑体" w:hAnsi="黑体" w:eastAsia="黑体"/>
          <w:b/>
          <w:sz w:val="22"/>
        </w:rPr>
        <w:t>28. 总结：作者眼中的“建制”</w:t>
      </w:r>
    </w:p>
    <w:p>
      <w:pPr>
        <w:ind w:left="360"/>
      </w:pPr>
      <w:r>
        <w:t>把建制比作危险矿山：防护进入、获取资源、及时退出。</w:t>
      </w:r>
    </w:p>
    <w:p>
      <w:pPr>
        <w:pStyle w:val="Heading2"/>
      </w:pPr>
      <w:r>
        <w:t>作者有“神化”自己吗</w:t>
      </w:r>
    </w:p>
    <w:p>
      <w:r>
        <w:rPr>
          <w:rFonts w:ascii="黑体" w:hAnsi="黑体" w:eastAsia="黑体"/>
          <w:b/>
          <w:sz w:val="22"/>
        </w:rPr>
        <w:t>29. 1. 试图构建“全知视角”</w:t>
      </w:r>
    </w:p>
    <w:p>
      <w:pPr>
        <w:ind w:left="360"/>
      </w:pPr>
      <w:r>
        <w:t>跨领域下确定判断，以完整解释塑造无所不知形象。</w:t>
      </w:r>
    </w:p>
    <w:p>
      <w:r>
        <w:rPr>
          <w:rFonts w:ascii="黑体" w:hAnsi="黑体" w:eastAsia="黑体"/>
          <w:b/>
          <w:sz w:val="22"/>
        </w:rPr>
        <w:t>30. 2. 自我想象为“孤独的守夜人”</w:t>
      </w:r>
    </w:p>
    <w:p>
      <w:pPr>
        <w:ind w:left="360"/>
      </w:pPr>
      <w:r>
        <w:t>通过与大众切割建立少数清醒者和救世者叙事。</w:t>
      </w:r>
    </w:p>
    <w:p>
      <w:r>
        <w:rPr>
          <w:rFonts w:ascii="黑体" w:hAnsi="黑体" w:eastAsia="黑体"/>
          <w:b/>
          <w:sz w:val="22"/>
        </w:rPr>
        <w:t>31. 3. 对“预测能力”的过度迷恋与展示</w:t>
      </w:r>
    </w:p>
    <w:p>
      <w:pPr>
        <w:ind w:left="360"/>
      </w:pPr>
      <w:r>
        <w:t>反复展示旧判断命中，并为失败寻找高层解释。</w:t>
      </w:r>
    </w:p>
    <w:p>
      <w:r>
        <w:rPr>
          <w:rFonts w:ascii="黑体" w:hAnsi="黑体" w:eastAsia="黑体"/>
          <w:b/>
          <w:sz w:val="22"/>
        </w:rPr>
        <w:t>32. 4. 语言风格上的“教主化”</w:t>
      </w:r>
    </w:p>
    <w:p>
      <w:pPr>
        <w:ind w:left="360"/>
      </w:pPr>
      <w:r>
        <w:t>造词、排他和绝对化语气共同强化解释权。</w:t>
      </w:r>
    </w:p>
    <w:p>
      <w:r>
        <w:rPr>
          <w:rFonts w:ascii="黑体" w:hAnsi="黑体" w:eastAsia="黑体"/>
          <w:b/>
          <w:sz w:val="22"/>
        </w:rPr>
        <w:t>33. 5. 隐秘的“受难者”形象</w:t>
      </w:r>
    </w:p>
    <w:p>
      <w:pPr>
        <w:ind w:left="360"/>
      </w:pPr>
      <w:r>
        <w:t>用受难、误解、觉醒的英雄结构增强个人神话。</w:t>
      </w:r>
    </w:p>
    <w:p>
      <w:r>
        <w:rPr>
          <w:rFonts w:ascii="黑体" w:hAnsi="黑体" w:eastAsia="黑体"/>
          <w:b/>
          <w:sz w:val="22"/>
        </w:rPr>
        <w:t>34. 总结</w:t>
      </w:r>
    </w:p>
    <w:p>
      <w:pPr>
        <w:ind w:left="360"/>
      </w:pPr>
      <w:r>
        <w:t>判断其系统性神化自己，并区分有意经营与无意自信。</w:t>
      </w:r>
    </w:p>
    <w:p>
      <w:pPr>
        <w:pStyle w:val="Heading2"/>
      </w:pPr>
      <w:r>
        <w:t>AI打分</w:t>
      </w:r>
    </w:p>
    <w:p>
      <w:r>
        <w:rPr>
          <w:rFonts w:ascii="黑体" w:hAnsi="黑体" w:eastAsia="黑体"/>
          <w:b/>
          <w:sz w:val="22"/>
        </w:rPr>
        <w:t>35. 一、“功”在哪里？（60%）</w:t>
      </w:r>
    </w:p>
    <w:p>
      <w:pPr>
        <w:ind w:left="360"/>
      </w:pPr>
      <w:r>
        <w:t>肯定社会化启蒙、防御工具和系统视角的价值。</w:t>
      </w:r>
    </w:p>
    <w:p>
      <w:r>
        <w:rPr>
          <w:rFonts w:ascii="黑体" w:hAnsi="黑体" w:eastAsia="黑体"/>
          <w:b/>
          <w:sz w:val="22"/>
        </w:rPr>
        <w:t>36. 二、“过”在哪里？（40%）</w:t>
      </w:r>
    </w:p>
    <w:p>
      <w:pPr>
        <w:ind w:left="360"/>
      </w:pPr>
      <w:r>
        <w:t>批评伪科学、猜疑化和智商优越感等副作用。</w:t>
      </w:r>
    </w:p>
    <w:p>
      <w:r>
        <w:rPr>
          <w:rFonts w:ascii="黑体" w:hAnsi="黑体" w:eastAsia="黑体"/>
          <w:b/>
          <w:sz w:val="22"/>
        </w:rPr>
        <w:t>37. 三、评分理由（8.5分）</w:t>
      </w:r>
    </w:p>
    <w:p>
      <w:pPr>
        <w:ind w:left="360"/>
      </w:pPr>
      <w:r>
        <w:t>综合稀缺性、冲击力、实操性、偏见与毒性。</w:t>
      </w:r>
    </w:p>
    <w:p>
      <w:r>
        <w:rPr>
          <w:rFonts w:ascii="黑体" w:hAnsi="黑体" w:eastAsia="黑体"/>
          <w:b/>
          <w:sz w:val="22"/>
        </w:rPr>
        <w:t>38. 总结</w:t>
      </w:r>
    </w:p>
    <w:p>
      <w:pPr>
        <w:ind w:left="360"/>
      </w:pPr>
      <w:r>
        <w:t>成熟读者可取其方法，不成熟读者可能被推向极端。</w:t>
      </w:r>
    </w:p>
    <w:p>
      <w:pPr>
        <w:pStyle w:val="Heading1"/>
      </w:pPr>
      <w:r>
        <w:t>小标题：0个</w:t>
      </w:r>
    </w:p>
    <w:p>
      <w:r>
        <w:t>按“独立占行、承担第三级结构导航”的严格标准，原文没有小标题。模型回复中的“A面/B面、矛盾描述、矛盾解析、原文引用、核心观点、文中证据、现象、批判、本质”等均为重复出现的行内标签，适合保留为内容标记，但不宜把每次出现都统计成标题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