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0"/>
        </w:rPr>
        <w:t>附加小问题</w:t>
      </w:r>
    </w:p>
    <w:p>
      <w:pPr>
        <w:pStyle w:val="Heading1"/>
      </w:pPr>
      <w:r>
        <w:t>附加小问题1：英文Prompt如何较准确地翻译成中文？</w:t>
      </w:r>
    </w:p>
    <w:p>
      <w:r>
        <w:rPr>
          <w:rFonts w:ascii="黑体" w:hAnsi="黑体" w:eastAsia="黑体"/>
          <w:b/>
          <w:sz w:val="24"/>
        </w:rPr>
        <w:t>问：英文图像生成Prompt怎么翻译成中文，才能相对准确？</w:t>
      </w:r>
    </w:p>
    <w:p>
      <w:r>
        <w:rPr>
          <w:rFonts w:ascii="宋体" w:hAnsi="宋体" w:eastAsia="宋体"/>
          <w:sz w:val="22"/>
        </w:rPr>
        <w:t>答：建议按“主体—动作—环境—氛围与灯光—风格”逐段翻译，保留专有名词、镜头参数和视觉关系，不把形容词任意文学化。译文如下。</w:t>
      </w:r>
    </w:p>
    <w:p>
      <w:r>
        <w:rPr>
          <w:rFonts w:ascii="黑体" w:hAnsi="黑体" w:eastAsia="黑体"/>
          <w:b/>
          <w:sz w:val="22"/>
        </w:rPr>
        <w:t>主体：</w:t>
      </w:r>
      <w:r>
        <w:rPr>
          <w:rFonts w:ascii="宋体" w:hAnsi="宋体" w:eastAsia="宋体"/>
          <w:sz w:val="22"/>
        </w:rPr>
        <w:t>一名四十岁出头的中国中年男性，身材高大结实，短发整洁，目光锐利而有穿透力。身穿简洁但质感上乘的深色衬衫，佩戴细框眼镜，脸上带着略显犬儒、却又隐约流露同情的似笑非笑。</w:t>
      </w:r>
    </w:p>
    <w:p>
      <w:r>
        <w:rPr>
          <w:rFonts w:ascii="黑体" w:hAnsi="黑体" w:eastAsia="黑体"/>
          <w:b/>
          <w:sz w:val="22"/>
        </w:rPr>
        <w:t>动作：</w:t>
      </w:r>
      <w:r>
        <w:rPr>
          <w:rFonts w:ascii="宋体" w:hAnsi="宋体" w:eastAsia="宋体"/>
          <w:sz w:val="22"/>
        </w:rPr>
        <w:t>夜晚，他坐在北京一间高档但光线昏暗的家庭办公室里，靠在人体工学椅上，以沉思的神情看着多台电脑屏幕。一只手托着下巴，另一只手拿着一支未点燃的香烟或电子烟。</w:t>
      </w:r>
    </w:p>
    <w:p>
      <w:r>
        <w:rPr>
          <w:rFonts w:ascii="黑体" w:hAnsi="黑体" w:eastAsia="黑体"/>
          <w:b/>
          <w:sz w:val="22"/>
        </w:rPr>
        <w:t>环境：</w:t>
      </w:r>
      <w:r>
        <w:rPr>
          <w:rFonts w:ascii="宋体" w:hAnsi="宋体" w:eastAsia="宋体"/>
          <w:sz w:val="22"/>
        </w:rPr>
        <w:t>房间的书架摆满历史、哲学和游戏策略类书籍；凌乱的书桌上放着一本《博弈论》；墙上挂着世界地图。电脑屏幕显示复杂的数据图表（K线图）和类似Paradox Interactive游戏的策略游戏界面。窗外可见虚化的北京城市天际线与灯火。</w:t>
      </w:r>
    </w:p>
    <w:p>
      <w:r>
        <w:rPr>
          <w:rFonts w:ascii="黑体" w:hAnsi="黑体" w:eastAsia="黑体"/>
          <w:b/>
          <w:sz w:val="22"/>
        </w:rPr>
        <w:t>氛围与灯光：</w:t>
      </w:r>
      <w:r>
        <w:rPr>
          <w:rFonts w:ascii="宋体" w:hAnsi="宋体" w:eastAsia="宋体"/>
          <w:sz w:val="22"/>
        </w:rPr>
        <w:t>电影感布光，低调光、情绪化氛围。屏幕的冷蓝光映在他的脸上，与室内暖色灯光形成对比，营造孤独、智慧与隐藏力量的感觉。微妙融入《黑客帝国》气质以及红药丸/蓝药丸象征，例如桌面放一颗红色药丸。</w:t>
      </w:r>
    </w:p>
    <w:p>
      <w:r>
        <w:rPr>
          <w:rFonts w:ascii="黑体" w:hAnsi="黑体" w:eastAsia="黑体"/>
          <w:b/>
          <w:sz w:val="22"/>
        </w:rPr>
        <w:t>风格：</w:t>
      </w:r>
      <w:r>
        <w:rPr>
          <w:rFonts w:ascii="宋体" w:hAnsi="宋体" w:eastAsia="宋体"/>
          <w:sz w:val="22"/>
        </w:rPr>
        <w:t>超写实，8K分辨率，纹理细致，摄影风格，85毫米镜头拍摄，浅景深。</w:t>
      </w:r>
    </w:p>
    <w:p>
      <w:pPr>
        <w:pStyle w:val="Heading1"/>
      </w:pPr>
      <w:r>
        <w:t>附加小问题2：为什么Cursor界面没有显示PNG图片？</w:t>
      </w:r>
    </w:p>
    <w:p>
      <w:r>
        <w:rPr>
          <w:rFonts w:ascii="黑体" w:hAnsi="黑体" w:eastAsia="黑体"/>
          <w:b/>
          <w:sz w:val="24"/>
        </w:rPr>
        <w:t>问：为什么当时Cursor界面只显示files/原始需求.txt，没有显示“解离PNG文件”里的PNG？</w:t>
      </w:r>
    </w:p>
    <w:p>
      <w:r>
        <w:rPr>
          <w:rFonts w:ascii="宋体" w:hAnsi="宋体" w:eastAsia="宋体"/>
          <w:sz w:val="22"/>
        </w:rPr>
        <w:t>答：不是Cursor不支持PNG。截图文件是在云端任务启动后上传到远端main分支的，而当时代理工作区停留在此前创建的功能分支；文件树只展示当前本地工作树，不会自动把远端main的新提交抓取进来。本次执行git fetch并把origin/main合入当前分支后，20张PNG已出现并可读取。若以后再次遇到，可刷新文件树，并确认当前分支已同步远端提交。</w:t>
      </w:r>
    </w:p>
    <w:p>
      <w:pPr>
        <w:pStyle w:val="Heading1"/>
      </w:pPr>
      <w:r>
        <w:t>附加小问题3：读到多少字容易遗忘上文或产生烦躁？</w:t>
      </w:r>
    </w:p>
    <w:p>
      <w:r>
        <w:rPr>
          <w:rFonts w:ascii="黑体" w:hAnsi="黑体" w:eastAsia="黑体"/>
          <w:b/>
          <w:sz w:val="24"/>
        </w:rPr>
        <w:t>问：以25岁、认知能力约前40%、受过普通高等教育、无疾病但每周约两天缺觉、收益不确定的男性为例，多少字后更可能需要复读，多少字后更可能烦躁并动摇阅读动机？</w:t>
      </w:r>
    </w:p>
    <w:p>
      <w:r>
        <w:rPr>
          <w:rFonts w:ascii="宋体" w:hAnsi="宋体" w:eastAsia="宋体"/>
          <w:sz w:val="22"/>
        </w:rPr>
        <w:t>答：不存在由智商百分位直接推出的统一字数阈值；题目没有给出阅读速度、文本熟悉度、睡眠时长、段落密度和测试目标，因此只能给实用估计。对这类概念密集、引用与模型回复交错的议论文，可把约6,000个汉字视为一个实用警戒点：若没有阶段摘要，读者通常开始更频繁地回看前文。连续阅读约8,000—12,000字时，轻度睡眠债、收益不确定和重复论证更容易共同引发烦躁与退出动机。本文约13,521字，已超过该区间上沿，宜分段阅读。</w:t>
      </w:r>
    </w:p>
    <w:p>
      <w:pPr>
        <w:pStyle w:val="Heading2"/>
      </w:pPr>
      <w:r>
        <w:t>数量化答案与换算</w:t>
      </w:r>
    </w:p>
    <w:p>
      <w:pPr>
        <w:pStyle w:val="ListBullet"/>
      </w:pPr>
      <w:r>
        <w:t>单一实用答案：约6,000字开始安排一次复盘或摘要；这不是生理硬阈值。</w:t>
      </w:r>
    </w:p>
    <w:p>
      <w:pPr>
        <w:pStyle w:val="ListBullet"/>
      </w:pPr>
      <w:r>
        <w:t>建议分块：每1,500—2,500字设置一个小结；每4,000—6,000字暂停1—3分钟并主动回忆核心论点。</w:t>
      </w:r>
    </w:p>
    <w:p>
      <w:pPr>
        <w:pStyle w:val="ListBullet"/>
      </w:pPr>
      <w:r>
        <w:t>纯文本UTF-8：6,000个汉字本身约18,000字节，即约17.6 KiB；加上标点和换行，常见约18—24 KiB。</w:t>
      </w:r>
    </w:p>
    <w:p>
      <w:pPr>
        <w:pStyle w:val="ListBullet"/>
      </w:pPr>
      <w:r>
        <w:t>无图片DOCX：DOCX是ZIP压缩的XML包，大小不与字数线性对应。6,000字的纯文字DOCX常见约20—40 KiB；样式、字体嵌入、修订记录都会改变结果。</w:t>
      </w:r>
    </w:p>
    <w:p>
      <w:pPr>
        <w:pStyle w:val="ListBullet"/>
      </w:pPr>
      <w:r>
        <w:t>本文13,521字若作为UTF-8纯文本，汉字主体约39.7 KiB；无图DOCX通常仍只在几十KiB量级。</w:t>
      </w:r>
    </w:p>
    <w:p>
      <w:pPr>
        <w:pStyle w:val="Heading2"/>
      </w:pPr>
      <w:r>
        <w:t>为什么只能给区间，而不能从“遗忘曲线”直接算出字数？</w:t>
      </w:r>
    </w:p>
    <w:p>
      <w:r>
        <w:t>艾宾浩斯遗忘曲线研究的是学习后随时间变化的保持/再学习，不是“读到第几个字会忘记前文”的页面长度公式；原始研究主要使用无意义音节。阅读中即时丢失上下文更接近工作记忆、持续注意、篇章整合和认知负荷问题。Cowan提出注意焦点容量平均约4个组块；Kintsch的建构—整合模型说明读者需把局部命题持续整合为整体表征；Lorch等人的研究表明标题、概览和总结等组织信号可改善主题结构编码与回忆。缺觉则尤其影响警觉、注意和工作记忆，并且个体差异明显。因此，标题密度、摘要、熟悉度和睡眠状态往往比单纯字数更重要。</w:t>
      </w:r>
    </w:p>
    <w:p>
      <w:pPr>
        <w:pStyle w:val="Heading2"/>
      </w:pPr>
      <w:r>
        <w:t>可操作的阅读设计</w:t>
      </w:r>
    </w:p>
    <w:p>
      <w:pPr>
        <w:pStyle w:val="ListBullet"/>
      </w:pPr>
      <w:r>
        <w:t>先读标题地图，再读正文；每个大标题结束后用一句话复述。</w:t>
      </w:r>
    </w:p>
    <w:p>
      <w:pPr>
        <w:pStyle w:val="ListBullet"/>
      </w:pPr>
      <w:r>
        <w:t>遇到模型的重复论证时，标记“新增证据”与“重复观点”，减少无效工作记忆负荷。</w:t>
      </w:r>
    </w:p>
    <w:p>
      <w:pPr>
        <w:pStyle w:val="ListBullet"/>
      </w:pPr>
      <w:r>
        <w:t>缺觉当天把单次阅读控制在10—15分钟，优先读摘要和证据，不做长时间连续精读。</w:t>
      </w:r>
    </w:p>
    <w:p>
      <w:pPr>
        <w:pStyle w:val="ListBullet"/>
      </w:pPr>
      <w:r>
        <w:t>若连续两次回看仍无法复述上一节，立即暂停；这比机械坚持到固定字数更可靠。</w:t>
      </w:r>
    </w:p>
    <w:p>
      <w:pPr>
        <w:pStyle w:val="Heading2"/>
      </w:pPr>
      <w:r>
        <w:t>涉及的理论与文献</w:t>
      </w:r>
    </w:p>
    <w:p>
      <w:pPr>
        <w:pStyle w:val="ListNumber"/>
      </w:pPr>
      <w:r>
        <w:t>Ebbinghaus, H. (1885/1913). Memory: A Contribution to Experimental Psychology. 发起并量化学习—遗忘研究，采用节省法。</w:t>
        <w:br/>
        <w:t>标题翻译：《记忆：对实验心理学的一项贡献》；作者：Ebbinghaus, H.</w:t>
      </w:r>
    </w:p>
    <w:p>
      <w:pPr>
        <w:pStyle w:val="ListNumber"/>
      </w:pPr>
      <w:r>
        <w:t>Murre, J. M. J., &amp; Dros, J. (2015). Replication and Analysis of Ebbinghaus’ Forgetting Curve. PLOS ONE, 10(7), e0120644. https://doi.org/10.1371/journal.pone.0120644</w:t>
        <w:br/>
        <w:t>标题翻译：《艾宾浩斯遗忘曲线的重复验证与分析》；作者：Murre, J. M. J., &amp; Dros, J.</w:t>
      </w:r>
    </w:p>
    <w:p>
      <w:pPr>
        <w:pStyle w:val="ListNumber"/>
      </w:pPr>
      <w:r>
        <w:t>Cowan, N. (2001). The Magical Number 4 in Short-Term Memory. Behavioral and Brain Sciences, 24(1), 87–114. https://doi.org/10.1017/S0140525X01003922</w:t>
        <w:br/>
        <w:t>标题翻译：《短时记忆中的神奇数字4：重新审视心理存储容量》；作者：Cowan, N.</w:t>
      </w:r>
    </w:p>
    <w:p>
      <w:pPr>
        <w:pStyle w:val="ListNumber"/>
      </w:pPr>
      <w:r>
        <w:t>Kintsch, W. (1988). The Role of Knowledge in Discourse Comprehension: A Construction-Integration Model. Psychological Review, 95(2), 163–182. https://doi.org/10.1037/0033-295X.95.2.163</w:t>
        <w:br/>
        <w:t>标题翻译：《知识在篇章理解中的作用：建构—整合模型》；作者：Kintsch, W.</w:t>
      </w:r>
    </w:p>
    <w:p>
      <w:pPr>
        <w:pStyle w:val="ListNumber"/>
      </w:pPr>
      <w:r>
        <w:t>Lorch, R. F., Jr., &amp; Lorch, E. P. (1995). Effects of Organizational Signals on Text-Processing Strategies. Journal of Educational Psychology, 87(4), 537–544. https://doi.org/10.1037/0022-0663.87.4.537</w:t>
        <w:br/>
        <w:t>标题翻译：《组织信号对文本加工策略的影响》；作者：Lorch, R. F., Jr., &amp; Lorch, E. P.</w:t>
      </w:r>
    </w:p>
    <w:p>
      <w:pPr>
        <w:pStyle w:val="ListNumber"/>
      </w:pPr>
      <w:r>
        <w:t>Alhola, P., &amp; Polo-Kantola, P. (2007). Sleep Deprivation: Impact on Cognitive Performance. Neuropsychiatric Disease and Treatment, 3(5), 553–567. https://pmc.ncbi.nlm.nih.gov/articles/PMC2656292/</w:t>
        <w:br/>
        <w:t>标题翻译：《睡眠剥夺：对认知表现的影响》；作者：Alhola, P., &amp; Polo-Kantola, P.</w:t>
      </w:r>
    </w:p>
    <w:p>
      <w:pPr>
        <w:pStyle w:val="Heading1"/>
      </w:pPr>
      <w:r>
        <w:t>附加问题4：临时记录</w:t>
      </w:r>
    </w:p>
    <w:p>
      <w:r>
        <w:rPr>
          <w:rFonts w:ascii="黑体" w:hAnsi="黑体" w:eastAsia="黑体"/>
          <w:b/>
          <w:sz w:val="24"/>
        </w:rPr>
        <w:t>问：只需要记录文字。</w:t>
      </w:r>
    </w:p>
    <w:p>
      <w:r>
        <w:rPr>
          <w:rFonts w:ascii="宋体" w:hAnsi="宋体" w:eastAsia="宋体"/>
          <w:sz w:val="22"/>
        </w:rPr>
        <w:t>答：临时记录：似乎Sometime Im Alone（cat）这种。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