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1.1.2 做事动力 · 故事库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8"/>
        </w:rPr>
        <w:t>先建档。判定规则以后再写。现在只收「你什么时候肯使劲、什么时候提不起劲」的典型事件。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怎么写一则故事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写清：事情难不难、有没有外部奖励、你坚持了多久、谁推了你、停下来时发生了什么。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color w:val="1F4E79"/>
          <w:sz w:val="30"/>
        </w:rPr>
        <w:t>故事 01（空）</w:t>
      </w:r>
    </w:p>
    <w:p>
      <w:pPr>
        <w:spacing w:before="0" w:after="160" w:line="324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（待你自述）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