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 转成可编辑 DOCX，并同步维护《姚勇文章目录》。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 转成可编辑 DOCX，并同步维护《姚勇文章目录》。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PDF、原文链接；可选标题与已知的首次发布/编辑时间。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放入 files/YaoZHIhu/，不读取 Wushuyao/。按 PDF 做 OCR 与标题层级判断，去掉导航、私信数、广告和评论区，生成接近原文结构的 DOCX。按加入顺序命名为「序号＋标题.docx」。原文链接放在 DOCX 结尾。分别记录首次发布时间、后续编辑时间和快照时间。更新 文章目录.json 并运行 更新姚勇文章目录.py。页面无法访问时只使用 PDF，状态写待 PDF。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DOCX；files/YaoZHIhu/姚勇文章目录/姚勇文章目录.docx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6 条｜更新 2026-09-10｜数据源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