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黑体" w:hAnsi="黑体" w:eastAsia="黑体"/>
          <w:b/>
          <w:i w:val="0"/>
          <w:color w:val="1F4E79"/>
          <w:sz w:val="36"/>
        </w:rPr>
        <w:t>工作属性维度：科学文献检索对话</w:t>
      </w:r>
    </w:p>
    <w:p>
      <w:pPr>
        <w:spacing w:before="0" w:after="20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摘自本 Agent 对话记录（transcript.json 提问人第 1983 条、Agent 第 2009 条），不是截图 OCR。蓝色文字为可点击超链接。</w:t>
      </w:r>
    </w:p>
    <w:p>
      <w:pPr>
        <w:spacing w:before="80" w:after="80" w:line="276" w:lineRule="auto"/>
      </w:pPr>
      <w:r>
        <w:rPr>
          <w:rFonts w:ascii="黑体" w:hAnsi="黑体" w:eastAsia="黑体"/>
          <w:b/>
          <w:i w:val="0"/>
          <w:color w:val="2E6B4A"/>
          <w:sz w:val="24"/>
        </w:rPr>
        <w:t>提问人：</w:t>
      </w:r>
    </w:p>
    <w:p>
      <w:pPr>
        <w:spacing w:before="0" w:after="200" w:line="276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你搜一下网上的含有社会科学（主要）神经科学（副，可能侧重重度思考的神经某物质产生和长远影响（正面与负面）），心理学（副）。我的意思是是需要更科学的书籍和信息来源，而不是《乌合之众》这种只有论点妹有论据论证的畅销垃圾（当时前沿、现在过时）书籍。关于工作的属性的维度（主要），以及一些拓展的论文（链接与“不超过四句话”句话标题简介），美国社科前qs50和中国清北、北师大学校的论文查找，可作为轻中度的权重导向搜索。</w:t>
      </w:r>
    </w:p>
    <w:p>
      <w:pPr>
        <w:spacing w:before="120" w:after="80" w:line="276" w:lineRule="auto"/>
      </w:pPr>
      <w:r>
        <w:rPr>
          <w:rFonts w:ascii="黑体" w:hAnsi="黑体" w:eastAsia="黑体"/>
          <w:b/>
          <w:i w:val="0"/>
          <w:color w:val="1B5E8A"/>
          <w:sz w:val="24"/>
        </w:rPr>
        <w:t>Agent：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科学文献里，工作不是「危险 / 时薪 / 劳损 / 未来收益」四个口号，而是几套</w:t>
      </w:r>
      <w:r>
        <w:rPr>
          <w:rFonts w:ascii="宋体" w:hAnsi="宋体" w:eastAsia="宋体"/>
          <w:b/>
          <w:i w:val="0"/>
          <w:color w:val="212529"/>
          <w:sz w:val="22"/>
        </w:rPr>
        <w:t>可测量、可复现</w:t>
      </w:r>
      <w:r>
        <w:rPr>
          <w:rFonts w:ascii="宋体" w:hAnsi="宋体" w:eastAsia="宋体"/>
          <w:b w:val="0"/>
          <w:i w:val="0"/>
          <w:color w:val="212529"/>
          <w:sz w:val="22"/>
        </w:rPr>
        <w:t>的属性。你记的那四条都能对上，但还要加上自主权、任务复杂度、职业声望、时间控制和技能可迁移性，否则会漏掉白领认知劳损和阶层再生产。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下面按证据强度排，不收《乌合之众》《异类》这种只有故事或过时论断的书。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i w:val="0"/>
          <w:color w:val="1F4E79"/>
          <w:sz w:val="28"/>
        </w:rPr>
        <w:t>工作属性：可操作的维度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pPr>
              <w:spacing w:before="0" w:after="40" w:line="259" w:lineRule="auto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你关心的</w:t>
            </w:r>
          </w:p>
        </w:tc>
        <w:tc>
          <w:tcPr>
            <w:tcW w:type="dxa" w:w="3264"/>
            <w:vAlign w:val="center"/>
            <w:shd w:fill="D9EAF7"/>
          </w:tcPr>
          <w:p>
            <w:pPr>
              <w:spacing w:before="0" w:after="40" w:line="259" w:lineRule="auto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学科里常用的测法</w:t>
            </w:r>
          </w:p>
        </w:tc>
        <w:tc>
          <w:tcPr>
            <w:tcW w:type="dxa" w:w="3264"/>
            <w:vAlign w:val="center"/>
            <w:shd w:fill="D9EAF7"/>
          </w:tcPr>
          <w:p>
            <w:pPr>
              <w:spacing w:before="0" w:after="40" w:line="259" w:lineRule="auto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危险性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补偿工资差、O\*NET work context（暴露、受伤、责任）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脏险累是否被更高工资买走，经验上经常被能力分选打乱</w:t>
            </w:r>
          </w:p>
        </w:tc>
      </w:tr>
      <w:tr>
        <w:tc>
          <w:tcPr>
            <w:tcW w:type="dxa" w:w="3264"/>
            <w:vAlign w:val="center"/>
            <w:shd w:fill="F7FAFC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时薪 / 总报酬</w:t>
            </w:r>
          </w:p>
        </w:tc>
        <w:tc>
          <w:tcPr>
            <w:tcW w:type="dxa" w:w="3264"/>
            <w:vAlign w:val="center"/>
            <w:shd w:fill="F7FAFC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工资、福利、工时、通勤</w:t>
            </w:r>
          </w:p>
        </w:tc>
        <w:tc>
          <w:tcPr>
            <w:tcW w:type="dxa" w:w="3264"/>
            <w:vAlign w:val="center"/>
            <w:shd w:fill="F7FAFC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时薪只是价格的一部分；还要看谁愿意做这份不适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劳损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体力需求、重复动作、工时；Karasek 高要求×低控制；职业倦怠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体力劳损和认知过载不是同一条生理通道</w:t>
            </w:r>
          </w:p>
        </w:tc>
      </w:tr>
      <w:tr>
        <w:tc>
          <w:tcPr>
            <w:tcW w:type="dxa" w:w="3264"/>
            <w:vAlign w:val="center"/>
            <w:shd w:fill="F7FAFC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未来资源收益</w:t>
            </w:r>
          </w:p>
        </w:tc>
        <w:tc>
          <w:tcPr>
            <w:tcW w:type="dxa" w:w="3264"/>
            <w:vAlign w:val="center"/>
            <w:shd w:fill="F7FAFC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晋升、技能专用性、职业声望、代际职业继承</w:t>
            </w:r>
          </w:p>
        </w:tc>
        <w:tc>
          <w:tcPr>
            <w:tcW w:type="dxa" w:w="3264"/>
            <w:vAlign w:val="center"/>
            <w:shd w:fill="F7FAFC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「以后值不值」包括自己的生涯斜率，也包括孩子更可能进同类职业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还要加的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任务内容（分析 / 人际 / 常规 / 手作）、自主权、社会支持、努力–回报比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spacing w:before="0" w:after="40" w:line="259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没有控制权的高思考，比「想得多」本身更伤</w:t>
            </w:r>
          </w:p>
        </w:tc>
      </w:tr>
    </w:tbl>
    <w:p/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 xml:space="preserve">美国职业数据库 </w:t>
      </w:r>
      <w:hyperlink r:id="rId9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O*NET</w:t>
        </w:r>
      </w:hyperlink>
      <w:r>
        <w:rPr>
          <w:rFonts w:ascii="宋体" w:hAnsi="宋体" w:eastAsia="宋体"/>
          <w:b w:val="0"/>
          <w:i w:val="0"/>
          <w:color w:val="212529"/>
          <w:sz w:val="22"/>
        </w:rPr>
        <w:t xml:space="preserve"> 把工作情境拆成 57 项：体力活动、危害、人际冲突、结构化程度等。劳动经济学再压成五类任务：非常规分析、非常规人际、常规认知、常规手作、非常规手作。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i w:val="0"/>
          <w:color w:val="1F4E79"/>
          <w:sz w:val="28"/>
        </w:rPr>
        <w:t>值得当底本的书和综述</w:t>
      </w:r>
    </w:p>
    <w:p>
      <w:pPr>
        <w:spacing w:before="0" w:after="80" w:line="276" w:lineRule="auto"/>
        <w:ind w:left="317"/>
      </w:pPr>
      <w:r>
        <w:rPr>
          <w:rFonts w:ascii="宋体" w:hAnsi="宋体" w:eastAsia="宋体"/>
          <w:b w:val="0"/>
          <w:i w:val="0"/>
          <w:color w:val="212529"/>
          <w:sz w:val="22"/>
        </w:rPr>
        <w:t xml:space="preserve">• </w:t>
      </w:r>
      <w:r>
        <w:rPr>
          <w:rFonts w:ascii="宋体" w:hAnsi="宋体" w:eastAsia="宋体"/>
          <w:b/>
          <w:i w:val="0"/>
          <w:color w:val="212529"/>
          <w:sz w:val="22"/>
        </w:rPr>
        <w:t>Rosen (1974/1986) 补偿工资差</w:t>
      </w:r>
      <w:r>
        <w:rPr>
          <w:rFonts w:ascii="宋体" w:hAnsi="宋体" w:eastAsia="宋体"/>
          <w:b w:val="0"/>
          <w:i w:val="0"/>
          <w:color w:val="212529"/>
          <w:sz w:val="22"/>
        </w:rPr>
        <w:t>：工作是一捆属性，工资是这捆属性的价格。后来的经验检验都从这里长出来。</w:t>
      </w:r>
    </w:p>
    <w:p>
      <w:pPr>
        <w:spacing w:before="0" w:after="80" w:line="276" w:lineRule="auto"/>
        <w:ind w:left="317"/>
      </w:pPr>
      <w:r>
        <w:rPr>
          <w:rFonts w:ascii="宋体" w:hAnsi="宋体" w:eastAsia="宋体"/>
          <w:b w:val="0"/>
          <w:i w:val="0"/>
          <w:color w:val="212529"/>
          <w:sz w:val="22"/>
        </w:rPr>
        <w:t xml:space="preserve">• </w:t>
      </w:r>
      <w:r>
        <w:rPr>
          <w:rFonts w:ascii="宋体" w:hAnsi="宋体" w:eastAsia="宋体"/>
          <w:b/>
          <w:i w:val="0"/>
          <w:color w:val="212529"/>
          <w:sz w:val="22"/>
        </w:rPr>
        <w:t>Karasek &amp; Theorell, *Healthy Work* (1990)</w:t>
      </w:r>
      <w:r>
        <w:rPr>
          <w:rFonts w:ascii="宋体" w:hAnsi="宋体" w:eastAsia="宋体"/>
          <w:b w:val="0"/>
          <w:i w:val="0"/>
          <w:color w:val="212529"/>
          <w:sz w:val="22"/>
        </w:rPr>
        <w:t>：要求高、决定权低，才叫应变；不是「忙」本身。</w:t>
      </w:r>
    </w:p>
    <w:p>
      <w:pPr>
        <w:spacing w:before="0" w:after="80" w:line="276" w:lineRule="auto"/>
        <w:ind w:left="317"/>
      </w:pPr>
      <w:r>
        <w:rPr>
          <w:rFonts w:ascii="宋体" w:hAnsi="宋体" w:eastAsia="宋体"/>
          <w:b w:val="0"/>
          <w:i w:val="0"/>
          <w:color w:val="212529"/>
          <w:sz w:val="22"/>
        </w:rPr>
        <w:t xml:space="preserve">• </w:t>
      </w:r>
      <w:r>
        <w:rPr>
          <w:rFonts w:ascii="宋体" w:hAnsi="宋体" w:eastAsia="宋体"/>
          <w:b/>
          <w:i w:val="0"/>
          <w:color w:val="212529"/>
          <w:sz w:val="22"/>
        </w:rPr>
        <w:t xml:space="preserve">Bakker &amp; Demerouti, </w:t>
      </w:r>
      <w:hyperlink r:id="rId10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JD-R 十年综述</w:t>
        </w:r>
      </w:hyperlink>
      <w:r>
        <w:rPr>
          <w:rFonts w:ascii="宋体" w:hAnsi="宋体" w:eastAsia="宋体"/>
          <w:b w:val="0"/>
          <w:i w:val="0"/>
          <w:color w:val="212529"/>
          <w:sz w:val="22"/>
        </w:rPr>
        <w:t>：把要求、资源、倦怠、投入收成一套可检验模型。</w:t>
      </w:r>
    </w:p>
    <w:p>
      <w:pPr>
        <w:spacing w:before="0" w:after="80" w:line="276" w:lineRule="auto"/>
        <w:ind w:left="317"/>
      </w:pPr>
      <w:r>
        <w:rPr>
          <w:rFonts w:ascii="宋体" w:hAnsi="宋体" w:eastAsia="宋体"/>
          <w:b w:val="0"/>
          <w:i w:val="0"/>
          <w:color w:val="212529"/>
          <w:sz w:val="22"/>
        </w:rPr>
        <w:t xml:space="preserve">• </w:t>
      </w:r>
      <w:r>
        <w:rPr>
          <w:rFonts w:ascii="宋体" w:hAnsi="宋体" w:eastAsia="宋体"/>
          <w:b/>
          <w:i w:val="0"/>
          <w:color w:val="212529"/>
          <w:sz w:val="22"/>
        </w:rPr>
        <w:t xml:space="preserve">Acemoglu &amp; Autor, </w:t>
      </w:r>
      <w:hyperlink r:id="rId11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Skills, Tasks and Technologies</w:t>
        </w:r>
      </w:hyperlink>
      <w:r>
        <w:rPr>
          <w:rFonts w:ascii="宋体" w:hAnsi="宋体" w:eastAsia="宋体"/>
          <w:b w:val="0"/>
          <w:i w:val="0"/>
          <w:color w:val="212529"/>
          <w:sz w:val="22"/>
        </w:rPr>
        <w:t>（MIT）：用 O\</w:t>
      </w:r>
      <w:r>
        <w:rPr>
          <w:rFonts w:ascii="宋体" w:hAnsi="宋体" w:eastAsia="宋体"/>
          <w:b w:val="0"/>
          <w:i w:val="0"/>
          <w:color w:val="212529"/>
          <w:sz w:val="22"/>
        </w:rPr>
        <w:t>*</w:t>
      </w:r>
      <w:r>
        <w:rPr>
          <w:rFonts w:ascii="宋体" w:hAnsi="宋体" w:eastAsia="宋体"/>
          <w:b w:val="0"/>
          <w:i w:val="0"/>
          <w:color w:val="212529"/>
          <w:sz w:val="22"/>
        </w:rPr>
        <w:t>NET 任务维度解释工资和岗位两极化。</w:t>
      </w:r>
    </w:p>
    <w:p>
      <w:pPr>
        <w:spacing w:before="0" w:after="80" w:line="276" w:lineRule="auto"/>
        <w:ind w:left="317"/>
      </w:pPr>
      <w:r>
        <w:rPr>
          <w:rFonts w:ascii="宋体" w:hAnsi="宋体" w:eastAsia="宋体"/>
          <w:b w:val="0"/>
          <w:i w:val="0"/>
          <w:color w:val="212529"/>
          <w:sz w:val="22"/>
        </w:rPr>
        <w:t xml:space="preserve">• </w:t>
      </w:r>
      <w:r>
        <w:rPr>
          <w:rFonts w:ascii="宋体" w:hAnsi="宋体" w:eastAsia="宋体"/>
          <w:b/>
          <w:i w:val="0"/>
          <w:color w:val="212529"/>
          <w:sz w:val="22"/>
        </w:rPr>
        <w:t>Blau &amp; Duncan, *The American Occupational Structure</w:t>
      </w:r>
      <w:r>
        <w:rPr>
          <w:rFonts w:ascii="宋体" w:hAnsi="宋体" w:eastAsia="宋体"/>
          <w:b w:val="0"/>
          <w:i w:val="0"/>
          <w:color w:val="212529"/>
          <w:sz w:val="22"/>
        </w:rPr>
        <w:t>*</w:t>
      </w:r>
      <w:r>
        <w:rPr>
          <w:rFonts w:ascii="宋体" w:hAnsi="宋体" w:eastAsia="宋体"/>
          <w:b w:val="0"/>
          <w:i w:val="0"/>
          <w:color w:val="212529"/>
          <w:sz w:val="22"/>
        </w:rPr>
        <w:t>：职业地位如何传递；比《异类》早几十年，而且有表。</w:t>
      </w:r>
    </w:p>
    <w:p>
      <w:pPr>
        <w:spacing w:before="0" w:after="80" w:line="276" w:lineRule="auto"/>
        <w:ind w:left="317"/>
      </w:pPr>
      <w:r>
        <w:rPr>
          <w:rFonts w:ascii="宋体" w:hAnsi="宋体" w:eastAsia="宋体"/>
          <w:b w:val="0"/>
          <w:i w:val="0"/>
          <w:color w:val="212529"/>
          <w:sz w:val="22"/>
        </w:rPr>
        <w:t xml:space="preserve">• </w:t>
      </w:r>
      <w:r>
        <w:rPr>
          <w:rFonts w:ascii="宋体" w:hAnsi="宋体" w:eastAsia="宋体"/>
          <w:b/>
          <w:i w:val="0"/>
          <w:color w:val="212529"/>
          <w:sz w:val="22"/>
        </w:rPr>
        <w:t>李强《转型时期冲突性的职业声望评价》</w:t>
      </w:r>
      <w:r>
        <w:rPr>
          <w:rFonts w:ascii="宋体" w:hAnsi="宋体" w:eastAsia="宋体"/>
          <w:b w:val="0"/>
          <w:i w:val="0"/>
          <w:color w:val="212529"/>
          <w:sz w:val="22"/>
        </w:rPr>
        <w:t>（清华，《中国社会科学》2000 年第 4 期）：中国职业不只看钱和权，民众评价会打架。</w:t>
      </w:r>
    </w:p>
    <w:p>
      <w:pPr>
        <w:spacing w:before="0" w:after="80" w:line="276" w:lineRule="auto"/>
        <w:ind w:left="317"/>
      </w:pPr>
      <w:r>
        <w:rPr>
          <w:rFonts w:ascii="宋体" w:hAnsi="宋体" w:eastAsia="宋体"/>
          <w:b w:val="0"/>
          <w:i w:val="0"/>
          <w:color w:val="212529"/>
          <w:sz w:val="22"/>
        </w:rPr>
        <w:t xml:space="preserve">• </w:t>
      </w:r>
      <w:r>
        <w:rPr>
          <w:rFonts w:ascii="宋体" w:hAnsi="宋体" w:eastAsia="宋体"/>
          <w:b/>
          <w:i w:val="0"/>
          <w:color w:val="212529"/>
          <w:sz w:val="22"/>
        </w:rPr>
        <w:t xml:space="preserve">Arnsten, </w:t>
      </w:r>
      <w:hyperlink r:id="rId12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Stress signalling pathways…</w:t>
        </w:r>
      </w:hyperlink>
      <w:r>
        <w:rPr>
          <w:rFonts w:ascii="宋体" w:hAnsi="宋体" w:eastAsia="宋体"/>
          <w:b w:val="0"/>
          <w:i w:val="0"/>
          <w:color w:val="212529"/>
          <w:sz w:val="22"/>
        </w:rPr>
        <w:t>（Yale）：前额叶儿茶酚胺是倒 U 形，不是「想得越多越好」。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i w:val="0"/>
          <w:color w:val="1F4E79"/>
          <w:sz w:val="28"/>
        </w:rPr>
        <w:t>论文（每条不超过四句）</w:t>
      </w:r>
    </w:p>
    <w:p>
      <w:pPr>
        <w:spacing w:before="200" w:after="80" w:line="276" w:lineRule="auto"/>
      </w:pPr>
      <w:r>
        <w:rPr>
          <w:rFonts w:ascii="黑体" w:hAnsi="黑体" w:eastAsia="黑体"/>
          <w:b/>
          <w:i w:val="0"/>
          <w:color w:val="1B5E8A"/>
          <w:sz w:val="24"/>
        </w:rPr>
        <w:t>美国社科，偏 QS 前列院校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Lavetti, *Journal of Economic Perspectives* 2023.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13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补偿工资差的经验难题</w:t>
        </w:r>
      </w:hyperlink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把 Adam Smith / Rosen 的「危险脏累要加钱」写成可估计问题。指出能力分选会让危险岗位看起来并不更贵，所以不能拿一张时薪表当职业评价。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Autor &amp; Handel, *Journal of Labor Economics* 2013.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14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Putting Tasks to the Test</w:t>
        </w:r>
      </w:hyperlink>
      <w:r>
        <w:rPr>
          <w:rFonts w:ascii="宋体" w:hAnsi="宋体" w:eastAsia="宋体"/>
          <w:b w:val="0"/>
          <w:i w:val="0"/>
          <w:color w:val="212529"/>
          <w:sz w:val="22"/>
        </w:rPr>
        <w:t>（MIT / Princeton 数据项目）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分析、常规、手作三类任务在职业内也差很大，而且能预测工资。说明「工种名字」不够，要看实际任务捆。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Karasek, *Administrative Science Quarterly* 1979.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15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Job Demands, Job Decision Latitude, and Mental Strain</w:t>
        </w:r>
      </w:hyperlink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瑞典和美国调查：精神劳损来自高要求叠加低决定权。这是后来一切「工作应变」量表的祖本。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Parcel &amp; Mueller, *Work and Occupations* 1983.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16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Occupational Differentiation, Prestige, and Socioeconomic Status</w:t>
        </w:r>
      </w:hyperlink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从 DOT 抽出复杂度、文书、人物–事物、不确定性、体力、灵巧、工作条件恶劣。复杂度最能解释声望和 SES，危险和脏本身不是地位的主轴。</w:t>
      </w:r>
    </w:p>
    <w:p>
      <w:pPr>
        <w:spacing w:before="200" w:after="80" w:line="276" w:lineRule="auto"/>
      </w:pPr>
      <w:r>
        <w:rPr>
          <w:rFonts w:ascii="黑体" w:hAnsi="黑体" w:eastAsia="黑体"/>
          <w:b/>
          <w:i w:val="0"/>
          <w:color w:val="1B5E8A"/>
          <w:sz w:val="24"/>
        </w:rPr>
        <w:t>清北、北师大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鲍威、陈得春等，北大教育经济所。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17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玻璃大厦：高校教师职业负荷对健康的影响</w:t>
        </w:r>
      </w:hyperlink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用体检、业绩和访谈看教学 / 科研 / 院系负荷。负荷上去，高血压、高血糖、结节检出率也上去，中年和女性更明显。这是「认知型职业」的生理劳损，不是搬砖。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闵维方、马莉萍等思路下的北大薪资机制文。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18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象牙塔里的薪资定价</w:t>
        </w:r>
      </w:hyperlink>
      <w:r>
        <w:rPr>
          <w:rFonts w:ascii="宋体" w:hAnsi="宋体" w:eastAsia="宋体"/>
          <w:b w:val="0"/>
          <w:i w:val="0"/>
          <w:color w:val="212529"/>
          <w:sz w:val="22"/>
        </w:rPr>
        <w:t>（《北京大学教育评论》2016）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高校工资被区域市场和学校筹款能力拉开，并不等于知识密集行业的外部时薪。谈「未来收益」时，组织资源比职称口号更硬。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胡咏梅、元静，北师大。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19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中国高校教师工资差距的实证研究</w:t>
        </w:r>
      </w:hyperlink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拆开基本工资、津贴、绩效：头衔和绩效拉差距，学科本身贡献小。同一职业内部的报酬维度，往往比职业之间的标签更重要。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李强，清华社会学。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20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转型时期冲突性的职业声望评价</w:t>
        </w:r>
      </w:hyperlink>
      <w:r>
        <w:rPr>
          <w:rFonts w:ascii="宋体" w:hAnsi="宋体" w:eastAsia="宋体"/>
          <w:b w:val="0"/>
          <w:i w:val="0"/>
          <w:color w:val="212529"/>
          <w:sz w:val="22"/>
        </w:rPr>
        <w:t>（《中国社会科学》2000.4）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中国人对同一职业的尊敬并不一致，声望、权力、收入三张表对不齐。评价工作时，不能只拿工资或只拿「体面」。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张姝玥、许燕、王芳，北师大心理。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工作要求、工作资源对警察倦怠和投入的预测（《中国健康心理学杂志》2007, 15(1): 14–16）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把 JD-R 接到中国高危职业：要求预测耗竭，资源预测投入。危险性之外，支持和控制仍然是独立维度。</w:t>
      </w:r>
    </w:p>
    <w:p>
      <w:pPr>
        <w:spacing w:before="200" w:after="80" w:line="276" w:lineRule="auto"/>
      </w:pPr>
      <w:r>
        <w:rPr>
          <w:rFonts w:ascii="黑体" w:hAnsi="黑体" w:eastAsia="黑体"/>
          <w:b/>
          <w:i w:val="0"/>
          <w:color w:val="1B5E8A"/>
          <w:sz w:val="24"/>
        </w:rPr>
        <w:t>神经科学（副：重度思考的物质与长远影响）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Wiehler, Pessiglione 等, *Current Biology* 2022.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21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一天高强度认知工作为何改变经济决策</w:t>
        </w:r>
      </w:hyperlink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MRS 显示：高控制需求组一天下来，外侧前额叶谷氨酸和 Glu/Gln 扩散升高，瞳孔反应变弱，更爱选短延迟、低努力的奖赏。这是「想一天」的代谢代价，不是鸡汤里的心流。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Savic 等, *Cerebral Cortex* 2020.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22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职业应激耗竭综合征的区域谷氨酸升高</w:t>
        </w:r>
      </w:hyperlink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职业耗竭患者前扣带 / 内侧前额叶谷氨酸升高，且和主观压力线性相关，主要见于女性。慢性职业应激不是「累了睡一觉」。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Savic, *Cerebral Cortex* 2017；Blix 等, *PLOS ONE* 2013.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23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职业应激的部分可逆脑结构改变</w:t>
        </w:r>
      </w:hyperlink>
      <w:r>
        <w:rPr>
          <w:rFonts w:ascii="宋体" w:hAnsi="宋体" w:eastAsia="宋体"/>
          <w:b w:val="0"/>
          <w:i w:val="0"/>
          <w:color w:val="212529"/>
          <w:sz w:val="22"/>
        </w:rPr>
        <w:t xml:space="preserve"> / </w:t>
      </w:r>
      <w:hyperlink r:id="rId24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长期职业应激与局部脑体积下降</w:t>
        </w:r>
      </w:hyperlink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慢性职业应激伴随前额叶变薄、纹状体体积下降；部分指标在干预后回一点，杏仁核增大等并不全回去。负向长远影响有影像，不是只有问卷。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Arnsten, *Nature Neuroscience* 2015.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25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压力削弱前额叶网络</w:t>
        </w:r>
      </w:hyperlink>
      <w:r>
        <w:rPr>
          <w:rFonts w:ascii="宋体" w:hAnsi="宋体" w:eastAsia="宋体"/>
          <w:b w:val="0"/>
          <w:i w:val="0"/>
          <w:color w:val="212529"/>
          <w:sz w:val="22"/>
        </w:rPr>
        <w:t>（Yale）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中等去甲肾上腺素和多巴胺优化工作记忆；不可控应激把 α1 / D1 打到过高，前额叶下线，杏仁核和纹状体接管。长期则掉树突棘。正面窗口很窄，过量就是损伤。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对你问的「重度思考的神经物质」：短时段主要是</w:t>
      </w:r>
      <w:r>
        <w:rPr>
          <w:rFonts w:ascii="宋体" w:hAnsi="宋体" w:eastAsia="宋体"/>
          <w:b/>
          <w:i w:val="0"/>
          <w:color w:val="212529"/>
          <w:sz w:val="22"/>
        </w:rPr>
        <w:t>谷氨酸堆积</w:t>
      </w:r>
      <w:r>
        <w:rPr>
          <w:rFonts w:ascii="宋体" w:hAnsi="宋体" w:eastAsia="宋体"/>
          <w:b w:val="0"/>
          <w:i w:val="0"/>
          <w:color w:val="212529"/>
          <w:sz w:val="22"/>
        </w:rPr>
        <w:t>和</w:t>
      </w:r>
      <w:r>
        <w:rPr>
          <w:rFonts w:ascii="宋体" w:hAnsi="宋体" w:eastAsia="宋体"/>
          <w:b/>
          <w:i w:val="0"/>
          <w:color w:val="212529"/>
          <w:sz w:val="22"/>
        </w:rPr>
        <w:t>儿茶酚胺倒 U</w:t>
      </w:r>
      <w:r>
        <w:rPr>
          <w:rFonts w:ascii="宋体" w:hAnsi="宋体" w:eastAsia="宋体"/>
          <w:b w:val="0"/>
          <w:i w:val="0"/>
          <w:color w:val="212529"/>
          <w:sz w:val="22"/>
        </w:rPr>
        <w:t>；长期职业应激还有皮质变薄。多巴胺不是「越想越补脑」。</w:t>
      </w:r>
    </w:p>
    <w:p>
      <w:pPr>
        <w:spacing w:before="200" w:after="80" w:line="276" w:lineRule="auto"/>
      </w:pPr>
      <w:r>
        <w:rPr>
          <w:rFonts w:ascii="黑体" w:hAnsi="黑体" w:eastAsia="黑体"/>
          <w:b/>
          <w:i w:val="0"/>
          <w:color w:val="1B5E8A"/>
          <w:sz w:val="24"/>
        </w:rPr>
        <w:t>拓展：职业继承（对应你说的龙生龙、工程师儿子）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这不是《异类》开篇的科学出处。《异类》是新闻写作，真正的表在流动研究里。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Kramer 等, 瑞典登记数据。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26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It Runs in the Family</w:t>
        </w:r>
      </w:hyperlink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医生之子成为医生、律师之子成为律师的概率，远高于随机分配（文中量级大约是十几倍）。把父职门槛抹平后，职业跟随大约减半，收入流动上升，总产出不明显掉。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Jacinto, CUNY / PSID。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27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美国职业的代际传递</w:t>
        </w:r>
      </w:hyperlink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专业技术人员（医生、工程师等）的儿子进入同一大类的概率约 32%；底层服务职业也粘。这是「未来资源」的家庭账，不是个人时薪。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/>
          <w:i w:val="0"/>
          <w:color w:val="212529"/>
          <w:sz w:val="22"/>
        </w:rPr>
        <w:t>Chise, Fortin 等 / ASEE 工程教育研究。</w:t>
      </w:r>
      <w:r>
        <w:rPr>
          <w:rFonts w:ascii="宋体" w:hAnsi="宋体" w:eastAsia="宋体"/>
          <w:b w:val="0"/>
          <w:i w:val="0"/>
          <w:color w:val="212529"/>
          <w:sz w:val="22"/>
        </w:rPr>
        <w:t xml:space="preserve"> </w:t>
      </w:r>
      <w:hyperlink r:id="rId28">
        <w:r>
          <w:rPr>
            <w:rFonts w:ascii="宋体" w:hAnsi="宋体" w:eastAsia="宋体"/>
            <w:color w:val="0563C1"/>
            <w:u w:val="single"/>
            <w:sz w:val="22"/>
            <w:szCs w:val="22"/>
          </w:rPr>
          <w:t xml:space="preserve">工程师会生出工程师吗</w:t>
        </w:r>
      </w:hyperlink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工程志向与父母（尤其父亲）是否做工程显著相关，背景和成绩解释不完。具体职业继承比「阶层差不多」更窄、更硬。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i w:val="0"/>
          <w:color w:val="1F4E79"/>
          <w:sz w:val="28"/>
        </w:rPr>
        <w:t>怎么用，避免再信畅销书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评价一份工作，至少同时看：</w:t>
      </w:r>
      <w:r>
        <w:rPr>
          <w:rFonts w:ascii="宋体" w:hAnsi="宋体" w:eastAsia="宋体"/>
          <w:b/>
          <w:i w:val="0"/>
          <w:color w:val="212529"/>
          <w:sz w:val="22"/>
        </w:rPr>
        <w:t>危害、报酬结构、体力/认知负荷、控制权、任务是非常规还是常规、声望、晋升和技能能带走多少、家庭会不会把这职业再传一代。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《乌合之众》没有职业数据；《异类》把一万小时和家庭故事写得很顺，但职业危险、时薪补偿、劳损和谷氨酸代谢都不在它的证据链里。</w:t>
      </w:r>
    </w:p>
    <w:p>
      <w:pPr>
        <w:spacing w:before="0" w:after="120" w:line="276" w:lineRule="auto"/>
        <w:ind w:firstLine="0"/>
      </w:pPr>
      <w:r>
        <w:rPr>
          <w:rFonts w:ascii="宋体" w:hAnsi="宋体" w:eastAsia="宋体"/>
          <w:b w:val="0"/>
          <w:i w:val="0"/>
          <w:color w:val="212529"/>
          <w:sz w:val="22"/>
        </w:rPr>
        <w:t>如果你要下一步，我可以按这套维度做一张「对照某一具体职业」的检索表（比如程序员 / 教师 / 工地），只收带数据的论文。</w:t>
      </w:r>
    </w:p>
    <w:p>
      <w:pPr>
        <w:spacing w:before="280" w:after="0" w:line="276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记录说明：只收录这一段「工作属性维度 / 科学文献检索」问答。论文链接已做成 Word 超链接。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netcenter.org/dictionary/current/excel/work_context.html" TargetMode="External"/><Relationship Id="rId10" Type="http://schemas.openxmlformats.org/officeDocument/2006/relationships/hyperlink" Target="https://www.annualreviews.org/content/journals/10.1146/annurev-orgpsych-120920-053933" TargetMode="External"/><Relationship Id="rId11" Type="http://schemas.openxmlformats.org/officeDocument/2006/relationships/hyperlink" Target="https://economics.mit.edu/sites/default/files/publications/Skills%2C%20Tasks%20and%20Technologies%20-%20Implications%20for%20.pdf" TargetMode="External"/><Relationship Id="rId12" Type="http://schemas.openxmlformats.org/officeDocument/2006/relationships/hyperlink" Target="https://www.nature.com/articles/nrn2648" TargetMode="External"/><Relationship Id="rId13" Type="http://schemas.openxmlformats.org/officeDocument/2006/relationships/hyperlink" Target="https://doi.org/10.1257/jep.37.3.189" TargetMode="External"/><Relationship Id="rId14" Type="http://schemas.openxmlformats.org/officeDocument/2006/relationships/hyperlink" Target="https://doi.org/10.1086/669332" TargetMode="External"/><Relationship Id="rId15" Type="http://schemas.openxmlformats.org/officeDocument/2006/relationships/hyperlink" Target="https://movingforwardnetwork.org/wp-content/uploads/2023/04/Karasek_Job-Demands-Job-Decision-Latitude-and-Mental-Strain-Implications-for-Job-Redesign_1979.pdf" TargetMode="External"/><Relationship Id="rId16" Type="http://schemas.openxmlformats.org/officeDocument/2006/relationships/hyperlink" Target="https://doi.org/10.1177/0730888483010001004" TargetMode="External"/><Relationship Id="rId17" Type="http://schemas.openxmlformats.org/officeDocument/2006/relationships/hyperlink" Target="https://iee.gse.pku.edu.cn/bolidashagaoxiaojiaoshizhiyefuheduijiankangdeyingxiang.pdf" TargetMode="External"/><Relationship Id="rId18" Type="http://schemas.openxmlformats.org/officeDocument/2006/relationships/hyperlink" Target="https://ccj.pku.edu.cn/Article/info?aid=330724903" TargetMode="External"/><Relationship Id="rId19" Type="http://schemas.openxmlformats.org/officeDocument/2006/relationships/hyperlink" Target="https://wkxb.bnu.edu.cn/CN/Y2021/V0/I6/27" TargetMode="External"/><Relationship Id="rId20" Type="http://schemas.openxmlformats.org/officeDocument/2006/relationships/hyperlink" Target="https://www.aisixiang.com/data/2368.html" TargetMode="External"/><Relationship Id="rId21" Type="http://schemas.openxmlformats.org/officeDocument/2006/relationships/hyperlink" Target="https://www.cell.com/current-biology/fulltext/s0960-9822(22)01111-3" TargetMode="External"/><Relationship Id="rId22" Type="http://schemas.openxmlformats.org/officeDocument/2006/relationships/hyperlink" Target="https://doi.org/10.1093/cercor/bhz340" TargetMode="External"/><Relationship Id="rId23" Type="http://schemas.openxmlformats.org/officeDocument/2006/relationships/hyperlink" Target="https://doi.org/10.1093/cercor/bhw413" TargetMode="External"/><Relationship Id="rId24" Type="http://schemas.openxmlformats.org/officeDocument/2006/relationships/hyperlink" Target="https://journals.plos.org/plosone/article?id=10.1371%2Fjournal.pone.0064065" TargetMode="External"/><Relationship Id="rId25" Type="http://schemas.openxmlformats.org/officeDocument/2006/relationships/hyperlink" Target="https://www.nature.com/articles/nn.4087" TargetMode="External"/><Relationship Id="rId26" Type="http://schemas.openxmlformats.org/officeDocument/2006/relationships/hyperlink" Target="https://jvkramer.github.io/Misallocation_Paper_Full.pdf" TargetMode="External"/><Relationship Id="rId27" Type="http://schemas.openxmlformats.org/officeDocument/2006/relationships/hyperlink" Target="https://academicworks.cuny.edu/cgi/viewcontent.cgi?article=2181&amp;context=gc_pubs" TargetMode="External"/><Relationship Id="rId28" Type="http://schemas.openxmlformats.org/officeDocument/2006/relationships/hyperlink" Target="https://peer.asee.org/do-engineers-beget-engineers-exploring-connections-between-the-engineering-related-career-choices-of-students-and-their-famili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工作属性维度：科学文献检索对话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