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7A306C"/>
          <w:sz w:val="36"/>
        </w:rPr>
        <w:t>奇异文章目录</w:t>
      </w:r>
    </w:p>
    <w:p>
      <w:pPr>
        <w:spacing w:before="0" w:after="160" w:line="240" w:lineRule="auto"/>
        <w:jc w:val="center"/>
      </w:pPr>
      <w:r>
        <w:rPr>
          <w:rFonts w:ascii="宋体" w:hAnsi="宋体" w:eastAsia="宋体"/>
          <w:b w:val="0"/>
          <w:color w:val="5F6368"/>
          <w:sz w:val="16"/>
        </w:rPr>
        <w:t>登记 0 篇｜更新 2026-09-15｜口令：“收录奇异文章”｜与就读文章目录序号独立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864"/>
            <w:vAlign w:val="center"/>
            <w:shd w:fill="F3E5F5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7A306C"/>
                <w:sz w:val="18"/>
              </w:rPr>
              <w:t>序号</w:t>
            </w:r>
          </w:p>
        </w:tc>
        <w:tc>
          <w:tcPr>
            <w:tcW w:type="dxa" w:w="4896"/>
            <w:vAlign w:val="center"/>
            <w:shd w:fill="F3E5F5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7A306C"/>
                <w:sz w:val="18"/>
              </w:rPr>
              <w:t>DOCX 全名</w:t>
            </w:r>
          </w:p>
        </w:tc>
        <w:tc>
          <w:tcPr>
            <w:tcW w:type="dxa" w:w="2880"/>
            <w:vAlign w:val="center"/>
            <w:shd w:fill="F3E5F5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7A306C"/>
                <w:sz w:val="18"/>
              </w:rPr>
              <w:t>时间</w:t>
            </w:r>
          </w:p>
        </w:tc>
        <w:tc>
          <w:tcPr>
            <w:tcW w:type="dxa" w:w="2016"/>
            <w:vAlign w:val="center"/>
            <w:shd w:fill="F3E5F5"/>
          </w:tcPr>
          <w:p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7A306C"/>
                <w:sz w:val="18"/>
              </w:rPr>
              <w:t>状态</w:t>
            </w:r>
          </w:p>
        </w:tc>
      </w:tr>
      <w:tr>
        <w:tc>
          <w:tcPr>
            <w:tcW w:type="dxa" w:w="10512"/>
            <w:gridSpan w:val="4"/>
            <w:shd w:fill="FFF8E7"/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 w:val="0"/>
                <w:color w:val="7A581A"/>
                <w:sz w:val="18"/>
              </w:rPr>
              <w:t>暂无奇异文章。发送「收录奇异文章」并附 PDF 与原文链接。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奇异文章目录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