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就读文章目录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0 篇｜待PDF 0 篇｜更新 2026-09-15｜口令：“收录就读文章”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3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08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学校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专业</w:t>
            </w:r>
          </w:p>
        </w:tc>
        <w:tc>
          <w:tcPr>
            <w:tcW w:type="dxa" w:w="165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状态</w:t>
            </w:r>
          </w:p>
        </w:tc>
      </w:tr>
      <w:tr>
        <w:tc>
          <w:tcPr>
            <w:tcW w:type="dxa" w:w="10800"/>
            <w:gridSpan w:val="6"/>
            <w:shd w:fill="FFF8E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7A581A"/>
                <w:sz w:val="18"/>
              </w:rPr>
              <w:t>暂无已收录文章。发送「收录就读文章」并附 PDF 与原文链接。</w:t>
            </w:r>
          </w:p>
        </w:tc>
      </w:tr>
    </w:tbl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 PDF 后按加入顺序编号；首次发布、后续编辑与快照时间分开写。学校或专业只填文章里能确定的信息；侧面线索拿不准时先在对话里问，再改名。不得读取 Wushi/，除非另行授权。</w:t>
      </w:r>
    </w:p>
    <w:sectPr w:rsidR="00FC693F" w:rsidRPr="0006063C" w:rsidSect="00034616">
      <w:pgSz w:w="12240" w:h="15840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就读文章目录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