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示例登录需求</w:t>
      </w:r>
    </w:p>
    <w:p>
      <w:r>
        <w:t>用户使用手机号和密码登录系统。</w:t>
      </w:r>
    </w:p>
    <w:p>
      <w:r>
        <w:t>密码连续错误5次后账号锁定30分钟。</w:t>
      </w:r>
    </w:p>
    <w:p>
      <w:r>
        <w:t>支持短信验证码登录方式。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登录方式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密码登录</w:t>
            </w:r>
          </w:p>
        </w:tc>
        <w:tc>
          <w:tcPr>
            <w:tcW w:type="dxa" w:w="2880"/>
          </w:tcPr>
          <w:p>
            <w:r>
              <w:t>手机号+密码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</w:tr>
      <w:tr>
        <w:tc>
          <w:tcPr>
            <w:tcW w:type="dxa" w:w="2880"/>
          </w:tcPr>
          <w:p>
            <w:r>
              <w:t>验证码登录</w:t>
            </w:r>
          </w:p>
        </w:tc>
        <w:tc>
          <w:tcPr>
            <w:tcW w:type="dxa" w:w="2880"/>
          </w:tcPr>
          <w:p>
            <w:r>
              <w:t>手机号+短信验证码</w:t>
            </w:r>
          </w:p>
        </w:tc>
        <w:tc>
          <w:tcPr>
            <w:tcW w:type="dxa" w:w="2880"/>
          </w:tcPr>
          <w:p>
            <w:r>
              <w:t>60秒有效期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pict>
          <v:shape style="width:120pt;height:40pt">
            <v:textbox>
              <w:txbxContent>
                <w:p>
                  <w:r>
                    <w:t>验收标准：登录耗时小于2秒</w:t>
                  </w:r>
                </w:p>
              </w:txbxContent>
            </v:textbox>
          </v:shape>
        </w:pict>
      </w:r>
    </w:p>
    <w:p xmlns:a="http://schemas.openxmlformats.org/drawingml/2006/main"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524000" cy="508000"/>
                <wp:wrapNone/>
                <wp:docPr id="1" name="TextBox 1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>验收标准二：验证码发送耗时小于10秒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20pt;height:40pt">
                <v:textbox>
                  <w:txbxContent>
                    <w:p>
                      <w:r>
                        <w:t>验收标准二：验证码发送耗时小于10秒</w:t>
                      </w:r>
                    </w:p>
                  </w:txbxContent>
                </v:textbox>
              </v:shape>
            </w:pict>
          </mc:Fallback>
        </mc:AlternateConten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