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64748B"/>
          <w:sz w:val="19"/>
        </w:rPr>
        <w:t>PHÒNG THÍ NGHIỆM TRÍ TUỆ NHÂN TẠO &amp; TIN SINH HỌC (AiTA LAB) - ĐẠI HỌC FPT</w:t>
      </w:r>
    </w:p>
    <w:p>
      <w:pPr>
        <w:spacing w:before="0" w:after="320"/>
      </w:pPr>
      <w:r>
        <w:rPr>
          <w:rFonts w:ascii="Arial" w:hAnsi="Arial"/>
          <w:b/>
          <w:color w:val="0D9488"/>
          <w:sz w:val="20"/>
        </w:rPr>
        <w:t>DỰ ÁN NGHIÊN CỨU: MISSENSE VARIANT PATHOGENICITY PREDICTION</w:t>
      </w:r>
    </w:p>
    <w:tbl>
      <w:tblPr>
        <w:tblW w:type="auto" w:w="0"/>
        <w:jc w:val="center"/>
        <w:tblLayout w:type="fixed"/>
        <w:tblLook w:firstColumn="1" w:firstRow="1" w:lastColumn="0" w:lastRow="0" w:noHBand="0" w:noVBand="1" w:val="04A0"/>
      </w:tblPr>
      <w:tblGrid>
        <w:gridCol w:w="9360"/>
      </w:tblGrid>
      <w:tr>
        <w:tc>
          <w:tcPr>
            <w:tcW w:type="dxa" w:w="9360"/>
            <w:shd w:fill="1E3A8A"/>
            <w:tcMar>
              <w:top w:w="240" w:type="dxa"/>
              <w:bottom w:w="240" w:type="dxa"/>
              <w:left w:w="240" w:type="dxa"/>
              <w:right w:w="240" w:type="dxa"/>
            </w:tcMar>
            <w:tcBorders>
              <w:top w:val="none"/>
              <w:bottom w:val="none"/>
              <w:left w:val="none"/>
              <w:right w:val="none"/>
            </w:tcBorders>
          </w:tcPr>
          <w:p>
            <w:pPr>
              <w:spacing w:before="0" w:after="120"/>
            </w:pPr>
            <w:r>
              <w:rPr>
                <w:rFonts w:ascii="Arial" w:hAnsi="Arial"/>
                <w:b/>
                <w:color w:val="FFFFFF"/>
                <w:sz w:val="32"/>
              </w:rPr>
              <w:t>BÁO CÁO THIẾT KẾ VÀ ĐẶC TẢ HỆ THỐNG</w:t>
              <w:br/>
              <w:t>MODULE 01: DATA PROCESSING &amp; VEP ANNOTATION</w:t>
            </w:r>
          </w:p>
          <w:p>
            <w:pPr>
              <w:spacing w:before="0" w:after="0"/>
            </w:pPr>
            <w:r>
              <w:rPr>
                <w:rFonts w:ascii="Arial" w:hAnsi="Arial"/>
                <w:color w:val="E0E7FF"/>
                <w:sz w:val="20"/>
              </w:rPr>
              <w:t>Tiền xử lý Dữ liệu Đa nguồn, Chú giải VEP/dbNSFP/SpliceAI, Phân tầng Chống Rò rỉ &amp; Chuẩn hóa Chuỗi Sinh học Phục vụ Mô hình Nền tảng (Foundation Models)</w:t>
            </w:r>
          </w:p>
        </w:tc>
      </w:tr>
    </w:tbl>
    <w:p>
      <w:pPr>
        <w:spacing w:after="160"/>
      </w:pPr>
    </w:p>
    <w:tbl>
      <w:tblPr>
        <w:tblW w:type="auto" w:w="0"/>
        <w:jc w:val="center"/>
        <w:tblLayout w:type="fixed"/>
        <w:tblLook w:firstColumn="1" w:firstRow="1" w:lastColumn="0" w:lastRow="0" w:noHBand="0" w:noVBand="1" w:val="04A0"/>
      </w:tblPr>
      <w:tblGrid>
        <w:gridCol w:w="4680"/>
        <w:gridCol w:w="4680"/>
      </w:tblGrid>
      <w:tr>
        <w:trPr>
          <w:trHeight w:val="504"/>
        </w:trPr>
        <w:tc>
          <w:tcPr>
            <w:tcW w:type="dxa" w:w="3168"/>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Thông tin</w:t>
            </w:r>
          </w:p>
        </w:tc>
        <w:tc>
          <w:tcPr>
            <w:tcW w:type="dxa" w:w="6192"/>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Chi tiết đặc tả</w:t>
            </w:r>
          </w:p>
        </w:tc>
      </w:tr>
      <w:tr>
        <w:trPr>
          <w:trHeight w:val="403"/>
        </w:trPr>
        <w:tc>
          <w:tcPr>
            <w:tcW w:type="dxa" w:w="3168"/>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Phạm vi Module</w:t>
            </w:r>
          </w:p>
        </w:tc>
        <w:tc>
          <w:tcPr>
            <w:tcW w:type="dxa" w:w="61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Module 01: core/module01_data_processing_vep (Gồm 15 Jupyter Notebooks)</w:t>
            </w:r>
          </w:p>
        </w:tc>
      </w:tr>
      <w:tr>
        <w:trPr>
          <w:trHeight w:val="403"/>
        </w:trPr>
        <w:tc>
          <w:tcPr>
            <w:tcW w:type="dxa" w:w="3168"/>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Tác giả / Nhóm nghiên cứu</w:t>
            </w:r>
          </w:p>
        </w:tc>
        <w:tc>
          <w:tcPr>
            <w:tcW w:type="dxa" w:w="61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AiTA Lab Bio-Sequence Research Team</w:t>
            </w:r>
          </w:p>
        </w:tc>
      </w:tr>
      <w:tr>
        <w:trPr>
          <w:trHeight w:val="403"/>
        </w:trPr>
        <w:tc>
          <w:tcPr>
            <w:tcW w:type="dxa" w:w="3168"/>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Đối tượng xử lý chính</w:t>
            </w:r>
          </w:p>
        </w:tc>
        <w:tc>
          <w:tcPr>
            <w:tcW w:type="dxa" w:w="61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Biến thể sai nghĩa (Missense SNVs) trên hệ gen người GRCh38 / Ensembl 110</w:t>
            </w:r>
          </w:p>
        </w:tc>
      </w:tr>
      <w:tr>
        <w:trPr>
          <w:trHeight w:val="403"/>
        </w:trPr>
        <w:tc>
          <w:tcPr>
            <w:tcW w:type="dxa" w:w="3168"/>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Nguồn dữ liệu tích hợp</w:t>
            </w:r>
          </w:p>
        </w:tc>
        <w:tc>
          <w:tcPr>
            <w:tcW w:type="dxa" w:w="61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 (NCBI), dbSNP, ProteinGym, UniProt (Humsavar), MAVEDb</w:t>
            </w:r>
          </w:p>
        </w:tc>
      </w:tr>
      <w:tr>
        <w:trPr>
          <w:trHeight w:val="403"/>
        </w:trPr>
        <w:tc>
          <w:tcPr>
            <w:tcW w:type="dxa" w:w="3168"/>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Công cụ cốt lõi</w:t>
            </w:r>
          </w:p>
        </w:tc>
        <w:tc>
          <w:tcPr>
            <w:tcW w:type="dxa" w:w="61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Ensembl VEP Docker, dbNSFP v5.3.1a, SpliceAI, pyfaidx, BioPython, PyArrow</w:t>
            </w:r>
          </w:p>
        </w:tc>
      </w:tr>
      <w:tr>
        <w:trPr>
          <w:trHeight w:val="403"/>
        </w:trPr>
        <w:tc>
          <w:tcPr>
            <w:tcW w:type="dxa" w:w="3168"/>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Trạng thái kiểm chuẩn</w:t>
            </w:r>
          </w:p>
        </w:tc>
        <w:tc>
          <w:tcPr>
            <w:tcW w:type="dxa" w:w="61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Hoàn thành toàn diện (Production-ready / Zero-leakage validated)</w:t>
            </w:r>
          </w:p>
        </w:tc>
      </w:tr>
    </w:tbl>
    <w:p>
      <w:pPr>
        <w:spacing w:after="240"/>
      </w:pPr>
    </w:p>
    <w:p>
      <w:pPr>
        <w:keepNext/>
        <w:spacing w:before="320" w:after="120"/>
      </w:pPr>
      <w:r>
        <w:rPr>
          <w:rFonts w:ascii="Arial" w:hAnsi="Arial"/>
          <w:b/>
          <w:color w:val="1E3A8A"/>
          <w:sz w:val="28"/>
        </w:rPr>
        <w:t>1. Tổng quan và Mục tiêu Nghiên cứu của Module 1</w:t>
      </w:r>
    </w:p>
    <w:p>
      <w:pPr>
        <w:spacing w:before="0" w:after="80" w:line="276" w:lineRule="auto"/>
      </w:pPr>
      <w:r>
        <w:rPr>
          <w:rFonts w:ascii="Arial" w:hAnsi="Arial"/>
          <w:b/>
          <w:color w:val="0F172A"/>
          <w:sz w:val="19"/>
        </w:rPr>
        <w:t xml:space="preserve">Bối cảnh khoa học: </w:t>
      </w:r>
      <w:r>
        <w:rPr>
          <w:rFonts w:ascii="Arial" w:hAnsi="Arial"/>
          <w:color w:val="1E293B"/>
          <w:sz w:val="19"/>
        </w:rPr>
        <w:t>Trong các nghiên cứu di truyền y học và tin sinh học hiện đại, việc dự đoán tính gây bệnh (Pathogenicity) của các đột biến sai nghĩa (Missense Single Nucleotide Variants - SNVs) đóng vai trò nền tảng trong chẩn đoán bệnh hiếm, phân loại nguy cơ ung thư và phát triển thuốc đích cá thể hóa. Tuy nhiên, việc huấn luyện các mô hình học máy và học sâu đa phương thức thường đối mặt với các thách thức lớn:</w:t>
      </w:r>
    </w:p>
    <w:p>
      <w:pPr>
        <w:pStyle w:val="ListBullet"/>
        <w:spacing w:before="20" w:after="40" w:line="276" w:lineRule="auto"/>
      </w:pPr>
      <w:r>
        <w:rPr>
          <w:rFonts w:ascii="Arial" w:hAnsi="Arial"/>
          <w:b/>
          <w:color w:val="0F172A"/>
          <w:sz w:val="19"/>
        </w:rPr>
        <w:t xml:space="preserve">1. Sự đa tạp và phân mảnh: </w:t>
      </w:r>
      <w:r>
        <w:rPr>
          <w:rFonts w:ascii="Arial" w:hAnsi="Arial"/>
          <w:color w:val="1E293B"/>
          <w:sz w:val="19"/>
        </w:rPr>
        <w:t>Dữ liệu phân tán, không đồng nhất về hệ tọa độ (GRCh37 vs GRCh38), danh pháp định danh (HGVS-c, HGVS-p, dbSNP rsID) và định dạng lưu trữ.</w:t>
      </w:r>
    </w:p>
    <w:p>
      <w:pPr>
        <w:pStyle w:val="ListBullet"/>
        <w:spacing w:before="20" w:after="40" w:line="276" w:lineRule="auto"/>
      </w:pPr>
      <w:r>
        <w:rPr>
          <w:rFonts w:ascii="Arial" w:hAnsi="Arial"/>
          <w:b/>
          <w:color w:val="0F172A"/>
          <w:sz w:val="19"/>
        </w:rPr>
        <w:t xml:space="preserve">2. Rò rỉ dữ liệu trong sinh học: </w:t>
      </w:r>
      <w:r>
        <w:rPr>
          <w:rFonts w:ascii="Arial" w:hAnsi="Arial"/>
          <w:color w:val="1E293B"/>
          <w:sz w:val="19"/>
        </w:rPr>
        <w:t>Nguy cơ rò rỉ thông tin (Data Leakage) nghiêm trọng giữa tập Train và Test thông qua gen tương đồng, biến thể liền kề hoặc rò rỉ mốc thời gian đánh giá lâm sàng.</w:t>
      </w:r>
    </w:p>
    <w:p>
      <w:pPr>
        <w:pStyle w:val="ListBullet"/>
        <w:spacing w:before="20" w:after="40" w:line="276" w:lineRule="auto"/>
      </w:pPr>
      <w:r>
        <w:rPr>
          <w:rFonts w:ascii="Arial" w:hAnsi="Arial"/>
          <w:b/>
          <w:color w:val="0F172A"/>
          <w:sz w:val="19"/>
        </w:rPr>
        <w:t xml:space="preserve">3. Thiên lệch phân bố nhãn: </w:t>
      </w:r>
      <w:r>
        <w:rPr>
          <w:rFonts w:ascii="Arial" w:hAnsi="Arial"/>
          <w:color w:val="1E293B"/>
          <w:sz w:val="19"/>
        </w:rPr>
        <w:t>Sự thiên lệch gen (Gene Bias): Các gen nổi tiếng thường bị tập trung gán nhãn đơn tính (chỉ toàn Pathogenic hoặc chỉ toàn Benign), khiến mô hình học vẹt tên gen thay vì cơ chế sinh học phân tử.</w:t>
      </w:r>
    </w:p>
    <w:p>
      <w:pPr>
        <w:pStyle w:val="ListBullet"/>
        <w:spacing w:before="20" w:after="40" w:line="276" w:lineRule="auto"/>
      </w:pPr>
      <w:r>
        <w:rPr>
          <w:rFonts w:ascii="Arial" w:hAnsi="Arial"/>
          <w:b/>
          <w:color w:val="0F172A"/>
          <w:sz w:val="19"/>
        </w:rPr>
        <w:t xml:space="preserve">4. Quy mô dữ liệu siêu lớn: </w:t>
      </w:r>
      <w:r>
        <w:rPr>
          <w:rFonts w:ascii="Arial" w:hAnsi="Arial"/>
          <w:color w:val="1E293B"/>
          <w:sz w:val="19"/>
        </w:rPr>
        <w:t>Tắc nghẽn tài nguyên phần cứng (OOM): Việc nạp hàng triệu biến thể cùng các tệp chú giải hệ gen khổng lồ (dbNSFP 30GB+, SpliceAI VCF) dễ gây tràn bộ nhớ RAM.</w:t>
      </w:r>
    </w:p>
    <w:p>
      <w:pPr>
        <w:spacing w:before="0" w:after="80" w:line="276" w:lineRule="auto"/>
      </w:pPr>
      <w:r>
        <w:rPr>
          <w:rFonts w:ascii="Arial" w:hAnsi="Arial"/>
          <w:b/>
          <w:color w:val="0F172A"/>
          <w:sz w:val="19"/>
        </w:rPr>
        <w:t xml:space="preserve">Sứ mệnh của Module 1: </w:t>
      </w:r>
      <w:r>
        <w:rPr>
          <w:rFonts w:ascii="Arial" w:hAnsi="Arial"/>
          <w:color w:val="1E293B"/>
          <w:sz w:val="19"/>
        </w:rPr>
        <w:t>Module 01 (core/module01_data_processing_vep) được thiết kế như một trung tâm xử lý dữ liệu và tạo tính năng quy chuẩn (Data Engineering &amp; Biological Annotation Foundation) cho toàn bộ hệ thống. Toàn bộ đầu ra của Module 1 trực tiếp cung cấp dữ liệu sạch, không rò rỉ và chuẩn hóa chuỗi cho Module 02 (Trích xuất Embedding bằng Foundation Model NT &amp; ESM-2), Module 03/04 (Cấu trúc hình học 3D) và Module 05 (Mô hình hợp nhất phân loại Fusion Model &amp; XGBoost).</w:t>
      </w:r>
    </w:p>
    <w:tbl>
      <w:tblPr>
        <w:tblW w:type="auto" w:w="0"/>
        <w:jc w:val="center"/>
        <w:tblLayout w:type="fixed"/>
        <w:tblLook w:firstColumn="1" w:firstRow="1" w:lastColumn="0" w:lastRow="0" w:noHBand="0" w:noVBand="1" w:val="04A0"/>
      </w:tblPr>
      <w:tblGrid>
        <w:gridCol w:w="9360"/>
      </w:tblGrid>
      <w:tr>
        <w:tc>
          <w:tcPr>
            <w:tcW w:type="dxa" w:w="9360"/>
            <w:shd w:fill="F0F9FF"/>
            <w:tcMar>
              <w:top w:w="160" w:type="dxa"/>
              <w:bottom w:w="160" w:type="dxa"/>
              <w:left w:w="240" w:type="dxa"/>
              <w:right w:w="200" w:type="dxa"/>
            </w:tcMar>
            <w:tcBorders>
              <w:top w:val="none"/>
              <w:bottom w:val="none"/>
              <w:left w:val="single" w:sz="24" w:space="0" w:color="0284C7"/>
              <w:right w:val="none"/>
            </w:tcBorders>
          </w:tcPr>
          <w:p>
            <w:pPr>
              <w:spacing w:before="40" w:after="80"/>
            </w:pPr>
            <w:r>
              <w:rPr>
                <w:rFonts w:ascii="Arial" w:hAnsi="Arial"/>
                <w:b/>
                <w:color w:val="0284C7"/>
                <w:sz w:val="20"/>
              </w:rPr>
              <w:t>📌 ĐÓNG GÓP CỐT LÕI CỦA MODULE 1</w:t>
              <w:br/>
            </w:r>
            <w:r>
              <w:rPr>
                <w:rFonts w:ascii="Arial" w:hAnsi="Arial"/>
                <w:color w:val="1E293B"/>
                <w:sz w:val="19"/>
              </w:rPr>
              <w:t>Module 1 đã hoàn thiện trọn vẹn 15 Notebooks xử lý tuần tự, thiết lập các bộ lọc chuẩn mực lâm sàng, thuật toán chia tập Greedy độc lập nhiễm sắc thể kết hợp ràng buộc thời gian (Time-aware Chromosome-disjoint split), tích hợp hơn 25 công cụ SOTA để đối chuẩn công bằng, và chuẩn hóa trích xuất chuỗi DNA 601bp và Protein 101aa phục vụ mô hình ngôn ngữ sinh học.</w:t>
            </w:r>
          </w:p>
        </w:tc>
      </w:tr>
    </w:tbl>
    <w:p>
      <w:pPr>
        <w:spacing w:after="80"/>
      </w:pPr>
    </w:p>
    <w:p>
      <w:pPr>
        <w:keepNext/>
        <w:spacing w:before="320" w:after="120"/>
      </w:pPr>
      <w:r>
        <w:rPr>
          <w:rFonts w:ascii="Arial" w:hAnsi="Arial"/>
          <w:b/>
          <w:color w:val="1E3A8A"/>
          <w:sz w:val="28"/>
        </w:rPr>
        <w:t>2. Kiến trúc Tổng thể và Danh mục 15 Notebooks</w:t>
      </w:r>
    </w:p>
    <w:p>
      <w:pPr>
        <w:spacing w:before="0" w:after="80" w:line="276" w:lineRule="auto"/>
      </w:pPr>
      <w:r>
        <w:rPr>
          <w:rFonts w:ascii="Arial" w:hAnsi="Arial"/>
          <w:color w:val="1E293B"/>
          <w:sz w:val="19"/>
        </w:rPr>
        <w:t>Hệ thống Module 1 được cấu trúc thành 5 giai đoạn liên kết chặt chẽ theo luồng xử lý dữ liệu chuẩn công nghiệp sinh học:</w:t>
      </w:r>
    </w:p>
    <w:p>
      <w:pPr>
        <w:spacing w:before="80" w:after="40"/>
      </w:pPr>
      <w:r>
        <w:rPr>
          <w:rFonts w:ascii="Arial" w:hAnsi="Arial"/>
          <w:b/>
          <w:color w:val="475569"/>
          <w:sz w:val="18"/>
        </w:rPr>
        <w:t>💻 Sơ đồ luồng xử lý toàn diện của Module 1</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8" w:space="0" w:color="CBD5E1"/>
              <w:bottom w:val="single" w:sz="8" w:space="0" w:color="CBD5E1"/>
              <w:left w:val="single" w:sz="8" w:space="0" w:color="CBD5E1"/>
              <w:right w:val="single" w:sz="8" w:space="0" w:color="CBD5E1"/>
            </w:tcBorders>
          </w:tcPr>
          <w:p>
            <w:pPr>
              <w:spacing w:before="40" w:after="40" w:line="276" w:lineRule="auto"/>
            </w:pPr>
            <w:r>
              <w:rPr>
                <w:rFonts w:ascii="Consolas" w:hAnsi="Consolas"/>
                <w:color w:val="1E293B"/>
                <w:sz w:val="17"/>
              </w:rPr>
              <w:t>+------------------------------------------------------------------------------------------------+</w:t>
              <w:br/>
              <w:t>| [GIAI ĐOẠN 1: TIỀN XỬ LÝ &amp; CHÚ GIẢI CLINVAR]                                                  |</w:t>
              <w:br/>
              <w:t>|   00_clinvar_raw_preprocess.ipynb -&gt; 01_1_clinvar_vep_mapping.ipynb                            |</w:t>
              <w:br/>
              <w:t>|   -&gt; 01_2_clinvar_train_val_test_split.ipynb (Bộ 1, Bộ 2, Bộ 3: Time &amp; Chr Disjoint Split)     |</w:t>
              <w:br/>
              <w:t>+------------------------------------------------------------------------------------------------+</w:t>
              <w:br/>
              <w:t xml:space="preserve">                                               |</w:t>
              <w:br/>
              <w:t xml:space="preserve">                                               v</w:t>
              <w:br/>
              <w:t>+------------------------------------------------------------------------------------------------+</w:t>
              <w:br/>
              <w:t>| [GIAI ĐOẠN 2: MỞ RỘNG VÀ TÍCH HỢP DBSNP]                                                       |</w:t>
              <w:br/>
              <w:t>|   02_1_dbsnp_raw_preprocess.ipynb -&gt; 02_2_dbsnp_vep_mapping.ipynb                              |</w:t>
              <w:br/>
              <w:t>|   -&gt; 02_3_dbsnp_clinvar_train_val_test_split.ipynb                                             |</w:t>
              <w:br/>
              <w:t>+------------------------------------------------------------------------------------------------+</w:t>
              <w:br/>
              <w:t xml:space="preserve">                                               |</w:t>
              <w:br/>
              <w:t xml:space="preserve">                                               v</w:t>
              <w:br/>
              <w:t>+------------------------------------------------------------------------------------------------+</w:t>
              <w:br/>
              <w:t>| [GIAI ĐOẠN 3: XỬ LÝ TẬP BENCHMARK ĐỘC LẬP &amp; TẬP VUS]                                           |</w:t>
              <w:br/>
              <w:t>|   03_clinvar_vus.ipynb | 03_clinvar_hq_test_benchmark_data_preprocess.ipynb                   |</w:t>
              <w:br/>
              <w:t>|   03_proteingym_test_benchmark_data_preprocess.ipynb | 03_uniprot_test_benchmark_data_...      |</w:t>
              <w:br/>
              <w:t>|   03_mavedb_test_benchmark_data_preprocess.ipynb                                              |</w:t>
              <w:br/>
              <w:t>+------------------------------------------------------------------------------------------------+</w:t>
              <w:br/>
              <w:t xml:space="preserve">                                               |</w:t>
              <w:br/>
              <w:t xml:space="preserve">                                               v</w:t>
              <w:br/>
              <w:t>+------------------------------------------------------------------------------------------------+</w:t>
              <w:br/>
              <w:t>| [GIAI ĐOẠN 4: KHỬ RÒ RỈ CHÉO &amp; CHÚ GIẢI 25+ CÔNG CỤ SOTA ĐỐI CHUẨN]                            |</w:t>
              <w:br/>
              <w:t>|   04_01_test_data_process_overlapping.ipynb (Loại bỏ 100% trùng lặp với Train, giữ Chr 10,15,20,Y) |</w:t>
              <w:br/>
              <w:t>|   04_02_test_data_vep_mapping.ipynb (Chú giải AlphaMissense, REVEL, CADD, SIFT... Complete-case) |</w:t>
              <w:br/>
              <w:t>+------------------------------------------------------------------------------------------------+</w:t>
              <w:br/>
              <w:t xml:space="preserve">                                               |</w:t>
              <w:br/>
              <w:t xml:space="preserve">                                               v</w:t>
              <w:br/>
              <w:t>+------------------------------------------------------------------------------------------------+</w:t>
              <w:br/>
              <w:t>| [GIAI ĐOẠN 5: CHUẨN HÓA &amp; TRÍCH XUẤT CHUỖI SINH HỌC CHO FOUNDATION MODELS]                     |</w:t>
              <w:br/>
              <w:t>|   05_map_ref_alt_sequence_dna.ipynb (Cửa sổ 601bp DNA đối xứng, đệm N, verify gốc FASTA)      |</w:t>
              <w:br/>
              <w:t>|   05_map_ref_alt_sequence_protein.ipynb (Cửa sổ 101aa Peptide đối xứng, đệm X, ENST-&gt;ENSP)    |</w:t>
              <w:br/>
              <w:t>+------------------------------------------------------------------------------------------------+</w:t>
              <w:br/>
              <w:t xml:space="preserve">                                               |</w:t>
              <w:br/>
              <w:t xml:space="preserve">                                               v</w:t>
              <w:br/>
              <w:t xml:space="preserve">                     [TỆP ĐẦU RA PARQUET CHUẨN HÓA CUNG CẤP CHO MODULE 2 &amp; 5]</w:t>
            </w:r>
          </w:p>
        </w:tc>
      </w:tr>
    </w:tbl>
    <w:p>
      <w:pPr>
        <w:spacing w:after="80"/>
      </w:pPr>
    </w:p>
    <w:p>
      <w:pPr>
        <w:keepNext/>
        <w:spacing w:before="240" w:after="80"/>
      </w:pPr>
      <w:r>
        <w:rPr>
          <w:rFonts w:ascii="Arial" w:hAnsi="Arial"/>
          <w:b/>
          <w:color w:val="0D9488"/>
          <w:sz w:val="23"/>
        </w:rPr>
        <w:t>2.1 Bảng Danh mục và Vai trò của 15 Notebooks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rHeight w:val="504"/>
        </w:trPr>
        <w:tc>
          <w:tcPr>
            <w:tcW w:type="dxa" w:w="576"/>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STT</w:t>
            </w:r>
          </w:p>
        </w:tc>
        <w:tc>
          <w:tcPr>
            <w:tcW w:type="dxa" w:w="2880"/>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Tên Notebook</w:t>
            </w:r>
          </w:p>
        </w:tc>
        <w:tc>
          <w:tcPr>
            <w:tcW w:type="dxa" w:w="2016"/>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Đầu vào (Input)</w:t>
            </w:r>
          </w:p>
        </w:tc>
        <w:tc>
          <w:tcPr>
            <w:tcW w:type="dxa" w:w="2016"/>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Đầu ra (Output)</w:t>
            </w:r>
          </w:p>
        </w:tc>
        <w:tc>
          <w:tcPr>
            <w:tcW w:type="dxa" w:w="1872"/>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Chức năng &amp; Trọng tâm</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00_clinvar_raw_preprocess.ipynb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clinvar_raw.tsv</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clinvar_clean.parquet</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Lọc SNV GRCh38, khử contig rác, chuẩn hóa VCF coords.</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2</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01_1_clinvar_vep_mapping.ipynb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clinvar_clean.parquet</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clinvar_vep_mapping_final_with_date.parquet</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Chạy VEP Docker 50k batch, SpliceAI, dbNSFP bảo tồn, map LastEvaluated.</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3</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01_2_clinvar_train_val_test_split.ipynb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clinvar_vep_mapping_final_with_date.parquet</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train1..3, val, test.parquet</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Phân chia Greedy Chromosome-disjoint &amp; Time-aware; tạo 3 Bộ dữ liệu.</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4</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02_1_dbsnp_raw_preprocess.ipynb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GCF_000001405.40.gz</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dbsnp_unique_for_VEP.parquet</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Trích xuất VCF dbSNP, lọc missense SNVs, loại bỏ trùng lặp với ClinVar.</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5</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02_2_dbsnp_vep_mapping.ipynb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dbsnp_unique_for_VEP.parquet</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clinvar_dbsnp_vep_merged_final.parquet</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Chú giải VEP cho dbSNP, chuẩn hóa schema và gộp với ClinVar.</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6</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02_3_dbsnp_clinvar_train_val_test_split.ipynb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clinvar_dbsnp_vep_merged_final.parquet</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train1..3, val, test.parquet</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Phân chia tập huấn luyện mở rộng kết hợp ClinVar + dbSNP.</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7</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03_clinvar_vus.ipynb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clinvar_clean.parquet</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clinvar_vus_vep_mapping_final.parquet</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Xử lý tập biến thể chưa rõ ý nghĩa (VUS) phục vụ đánh giá tương lai.</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8</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03_clinvar_hq_test_benchmark_data_preprocess.ipynb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clinvar.vcf.gz</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clinvar_hq_filtered.parquet</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Trích xuất biến thể chất lượng cao (ReviewStatus &gt;= 2 sao).</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9</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03_proteingym_test_benchmark_data_preprocess.ipynb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2,525 file CSV ProteinGym</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ProteinGym_Clinical_Processed.csv</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Chuyển đổi danh pháp đột biến protein sang HGVS và hệ tọa độ GRCh38.</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10</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03_uniprot_test_benchmark_data_preprocess.ipynb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humsavar.txt, Export files</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SwissProt_Orthogonal_Final.csv</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Xử lý biến thể SwissProt Humsavar, map rsID sang tọa độ hệ gen.</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11</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03_mavedb_test_benchmark_data_preprocess.ipynb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PTEN.csv (DMS)</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mavedb.parquet</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Bóc tách thực nghiệm đo đột biến bão hòa PTEN, map ENST00000371953.</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12</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04_01_test_data_process_overlapping.ipynb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Train1, Benchmark datasets</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Cleaned_VEP parquets</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Khử 100% rò rỉ chéo với tập Train; giữ cố định NST 10, 15, 20, Y.</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13</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04_02_test_data_vep_mapping.ipynb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Cleaned_VEP parquets</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test_after_vep_final.parquet</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Chú giải 25+ mô hình SOTA (AlphaMissense, REVEL...), lọc Complete-case.</w:t>
            </w:r>
          </w:p>
        </w:tc>
      </w:tr>
      <w:tr>
        <w:trPr>
          <w:trHeight w:val="403"/>
        </w:trPr>
        <w:tc>
          <w:tcPr>
            <w:tcW w:type="dxa" w:w="57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14</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05_map_ref_alt_sequence_dna.ipynb</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train1..3, val, test, benchmarks</w:t>
            </w:r>
          </w:p>
        </w:tc>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train_final.. test_seq...parquet</w:t>
            </w:r>
          </w:p>
        </w:tc>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Trích xuất chuỗi DNA 601bp đối xứng (W=300), đệm N, verify gốc FASTA.</w:t>
            </w:r>
          </w:p>
        </w:tc>
      </w:tr>
      <w:tr>
        <w:trPr>
          <w:trHeight w:val="403"/>
        </w:trPr>
        <w:tc>
          <w:tcPr>
            <w:tcW w:type="dxa" w:w="57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15</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05_map_ref_alt_sequence_protein.ipynb</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DNA mapped parquets</w:t>
            </w:r>
          </w:p>
        </w:tc>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full_seq_final parquets</w:t>
            </w:r>
          </w:p>
        </w:tc>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Trích xuất chuỗi Protein 101aa (W=50), đệm X, tạo chuỗi Ref và Alt.</w:t>
            </w:r>
          </w:p>
        </w:tc>
      </w:tr>
    </w:tbl>
    <w:p>
      <w:pPr>
        <w:spacing w:after="240"/>
      </w:pPr>
    </w:p>
    <w:p>
      <w:pPr>
        <w:keepNext/>
        <w:spacing w:before="320" w:after="120"/>
      </w:pPr>
      <w:r>
        <w:rPr>
          <w:rFonts w:ascii="Arial" w:hAnsi="Arial"/>
          <w:b/>
          <w:color w:val="1E3A8A"/>
          <w:sz w:val="28"/>
        </w:rPr>
        <w:t>3. Chi tiết Kỹ thuật Triển khai Từng Giai đoạn</w:t>
      </w:r>
    </w:p>
    <w:p>
      <w:pPr>
        <w:keepNext/>
        <w:spacing w:before="240" w:after="80"/>
      </w:pPr>
      <w:r>
        <w:rPr>
          <w:rFonts w:ascii="Arial" w:hAnsi="Arial"/>
          <w:b/>
          <w:color w:val="0D9488"/>
          <w:sz w:val="23"/>
        </w:rPr>
        <w:t>3.1 Tiền xử lý Dữ liệu Thô ClinVar (00_clinvar_raw_preprocess.ipynb)</w:t>
      </w:r>
    </w:p>
    <w:p>
      <w:pPr>
        <w:spacing w:before="0" w:after="80" w:line="276" w:lineRule="auto"/>
      </w:pPr>
      <w:r>
        <w:rPr>
          <w:rFonts w:ascii="Arial" w:hAnsi="Arial"/>
          <w:b/>
          <w:color w:val="0F172A"/>
          <w:sz w:val="19"/>
        </w:rPr>
        <w:t xml:space="preserve">Mục tiêu: </w:t>
      </w:r>
      <w:r>
        <w:rPr>
          <w:rFonts w:ascii="Arial" w:hAnsi="Arial"/>
          <w:color w:val="1E293B"/>
          <w:sz w:val="19"/>
        </w:rPr>
        <w:t>ClinVar là kho dữ liệu chuẩn của NCBI về mối quan hệ giữa biến thể di truyền và kiểu hình bệnh tật. File thô clinvar_raw.tsv có kích thước lớn và chứa nhiều loại biến thể phức tạp (InDel, CNV, Structural Variant) cùng nhiều hệ tọa độ khác nhau.</w:t>
      </w:r>
    </w:p>
    <w:p>
      <w:pPr>
        <w:pStyle w:val="ListBullet"/>
        <w:spacing w:before="20" w:after="40" w:line="276" w:lineRule="auto"/>
      </w:pPr>
      <w:r>
        <w:rPr>
          <w:rFonts w:ascii="Arial" w:hAnsi="Arial"/>
          <w:b/>
          <w:color w:val="0F172A"/>
          <w:sz w:val="19"/>
        </w:rPr>
        <w:t xml:space="preserve">Lọc kiểu biến thể: </w:t>
      </w:r>
      <w:r>
        <w:rPr>
          <w:rFonts w:ascii="Arial" w:hAnsi="Arial"/>
          <w:color w:val="1E293B"/>
          <w:sz w:val="19"/>
        </w:rPr>
        <w:t>Lọc trường Type == 'single nucleotide variant' nhằm đảm bảo tập trung thuần túy vào biến thể đơn nucleotide sai nghĩa.</w:t>
      </w:r>
    </w:p>
    <w:p>
      <w:pPr>
        <w:pStyle w:val="ListBullet"/>
        <w:spacing w:before="20" w:after="40" w:line="276" w:lineRule="auto"/>
      </w:pPr>
      <w:r>
        <w:rPr>
          <w:rFonts w:ascii="Arial" w:hAnsi="Arial"/>
          <w:b/>
          <w:color w:val="0F172A"/>
          <w:sz w:val="19"/>
        </w:rPr>
        <w:t xml:space="preserve">Hệ tọa độ tham chiếu: </w:t>
      </w:r>
      <w:r>
        <w:rPr>
          <w:rFonts w:ascii="Arial" w:hAnsi="Arial"/>
          <w:color w:val="1E293B"/>
          <w:sz w:val="19"/>
        </w:rPr>
        <w:t>Chỉ giữ Assembly == 'GRCh38' để đồng nhất tuyệt đối với hệ quy chiếu phân tích của các mô hình Foundation Models và VEP cache.</w:t>
      </w:r>
    </w:p>
    <w:p>
      <w:pPr>
        <w:pStyle w:val="ListBullet"/>
        <w:spacing w:before="20" w:after="40" w:line="276" w:lineRule="auto"/>
      </w:pPr>
      <w:r>
        <w:rPr>
          <w:rFonts w:ascii="Arial" w:hAnsi="Arial"/>
          <w:b/>
          <w:color w:val="0F172A"/>
          <w:sz w:val="19"/>
        </w:rPr>
        <w:t xml:space="preserve">Cắt giảm thuộc tính: </w:t>
      </w:r>
      <w:r>
        <w:rPr>
          <w:rFonts w:ascii="Arial" w:hAnsi="Arial"/>
          <w:color w:val="1E293B"/>
          <w:sz w:val="19"/>
        </w:rPr>
        <w:t>Loại bỏ các cột dư thừa không phục vụ mô hình hóa như RS#, nsv/esv, RCVaccession, Cytogenetic, NumberSubmitters, Guidelines...</w:t>
      </w:r>
    </w:p>
    <w:p>
      <w:pPr>
        <w:pStyle w:val="ListBullet"/>
        <w:spacing w:before="20" w:after="40" w:line="276" w:lineRule="auto"/>
      </w:pPr>
      <w:r>
        <w:rPr>
          <w:rFonts w:ascii="Arial" w:hAnsi="Arial"/>
          <w:b/>
          <w:color w:val="0F172A"/>
          <w:sz w:val="19"/>
        </w:rPr>
        <w:t xml:space="preserve">Chuẩn hóa dữ liệu rác: </w:t>
      </w:r>
      <w:r>
        <w:rPr>
          <w:rFonts w:ascii="Arial" w:hAnsi="Arial"/>
          <w:color w:val="1E293B"/>
          <w:sz w:val="19"/>
        </w:rPr>
        <w:t>Chuyển đổi toàn bộ các biểu diễn chuỗi lỗi và khuyết thiếu như ['-', 'na', 'n/a', 'NA', 'N/A', 'NaN', 'nan'] thành giá trị chuẩn np.nan.</w:t>
      </w:r>
    </w:p>
    <w:p>
      <w:pPr>
        <w:pStyle w:val="ListBullet"/>
        <w:spacing w:before="20" w:after="40" w:line="276" w:lineRule="auto"/>
      </w:pPr>
      <w:r>
        <w:rPr>
          <w:rFonts w:ascii="Arial" w:hAnsi="Arial"/>
          <w:b/>
          <w:color w:val="0F172A"/>
          <w:sz w:val="19"/>
        </w:rPr>
        <w:t xml:space="preserve">Chuẩn hóa định danh: </w:t>
      </w:r>
      <w:r>
        <w:rPr>
          <w:rFonts w:ascii="Arial" w:hAnsi="Arial"/>
          <w:color w:val="1E293B"/>
          <w:sz w:val="19"/>
        </w:rPr>
        <w:t>Đổi tên cột sang chuẩn VCF: Chromosome -&gt; CHROM, PositionVCF -&gt; POS, ReferenceAlleleVCF -&gt; REF, AlternateAlleleVCF -&gt; ALT; loại bỏ các hàng không có tọa độ hoặc thuộc contig không chuẩn (chrUn).</w:t>
      </w:r>
    </w:p>
    <w:p>
      <w:pPr>
        <w:spacing w:before="0" w:after="80" w:line="276" w:lineRule="auto"/>
      </w:pPr>
      <w:r>
        <w:rPr>
          <w:rFonts w:ascii="Arial" w:hAnsi="Arial"/>
          <w:color w:val="1E293B"/>
          <w:sz w:val="19"/>
        </w:rPr>
        <w:t>Kết quả bước này được xuất ra tệp định dạng nén Parquet: clinvar_clean.parquet với cấu trúc nhẹ, giúp tăng tốc độ đọc và xử lý ở các bước tiếp theo lên gấp 10 lần so với TSV gốc.</w:t>
      </w:r>
    </w:p>
    <w:p>
      <w:pPr>
        <w:keepNext/>
        <w:spacing w:before="240" w:after="80"/>
      </w:pPr>
      <w:r>
        <w:rPr>
          <w:rFonts w:ascii="Arial" w:hAnsi="Arial"/>
          <w:b/>
          <w:color w:val="0D9488"/>
          <w:sz w:val="23"/>
        </w:rPr>
        <w:t>3.2 Pipeline Ensembl VEP Container hóa &amp; Trích xuất Đặc trưng (01_1_clinvar_vep_mapping.ipynb)</w:t>
      </w:r>
    </w:p>
    <w:p>
      <w:pPr>
        <w:spacing w:before="0" w:after="80" w:line="276" w:lineRule="auto"/>
      </w:pPr>
      <w:r>
        <w:rPr>
          <w:rFonts w:ascii="Arial" w:hAnsi="Arial"/>
          <w:b/>
          <w:color w:val="0F172A"/>
          <w:sz w:val="19"/>
        </w:rPr>
        <w:t xml:space="preserve">Kiến trúc chú giải: </w:t>
      </w:r>
      <w:r>
        <w:rPr>
          <w:rFonts w:ascii="Arial" w:hAnsi="Arial"/>
          <w:color w:val="1E293B"/>
          <w:sz w:val="19"/>
        </w:rPr>
        <w:t>Ensembl Variant Effect Predictor (VEP) là tiêu chuẩn vàng quốc tế để xác định hậu quả sinh học của đột biến trên hệ gen. Để đảm bảo tính tái lập (Reproducibility) và hiệu năng xử lý cao nhất, nhóm nghiên cứu đã xây dựng pipeline VEP hoàn chỉnh trên nền tảng Docker container kết hợp PyArrow streaming.</w:t>
      </w:r>
    </w:p>
    <w:p>
      <w:pPr>
        <w:pStyle w:val="ListBullet"/>
        <w:spacing w:before="20" w:after="40" w:line="276" w:lineRule="auto"/>
      </w:pPr>
      <w:r>
        <w:rPr>
          <w:rFonts w:ascii="Arial" w:hAnsi="Arial"/>
          <w:b/>
          <w:color w:val="0F172A"/>
          <w:sz w:val="19"/>
        </w:rPr>
        <w:t xml:space="preserve">Môi trường Container: </w:t>
      </w:r>
      <w:r>
        <w:rPr>
          <w:rFonts w:ascii="Arial" w:hAnsi="Arial"/>
          <w:color w:val="1E293B"/>
          <w:sz w:val="19"/>
        </w:rPr>
        <w:t>Sử dụng Docker image ensemblorg/ensembl-vep kết nối offline với Cache Ensembl GRCh38 và FASTA Homo_sapiens.GRCh38.dna.primary_assembly.fa.</w:t>
      </w:r>
    </w:p>
    <w:p>
      <w:pPr>
        <w:pStyle w:val="ListBullet"/>
        <w:spacing w:before="20" w:after="40" w:line="276" w:lineRule="auto"/>
      </w:pPr>
      <w:r>
        <w:rPr>
          <w:rFonts w:ascii="Arial" w:hAnsi="Arial"/>
          <w:b/>
          <w:color w:val="0F172A"/>
          <w:sz w:val="19"/>
        </w:rPr>
        <w:t xml:space="preserve">Cơ chế Streaming Chunking: </w:t>
      </w:r>
      <w:r>
        <w:rPr>
          <w:rFonts w:ascii="Arial" w:hAnsi="Arial"/>
          <w:color w:val="1E293B"/>
          <w:sz w:val="19"/>
        </w:rPr>
        <w:t>Dữ liệu được chia thành các chunk cố định (CHUNK_SIZE = 50,000 biến thể). Mỗi chunk được tạo VCF tạm thời, nạp vào Docker VEP xử lý đa luồng (--fork 4), sau đó kết quả được parse và ghi cuốn chiếu vào tệp Parquet thông qua pyarrow.parquet.ParquetWriter. Kỹ thuật này giải phóng RAM ngay sau từng chunk, loại trừ hoàn toàn nguy cơ sập hệ thống vì OOM.</w:t>
      </w:r>
    </w:p>
    <w:p>
      <w:pPr>
        <w:pStyle w:val="ListBullet"/>
        <w:spacing w:before="20" w:after="40" w:line="276" w:lineRule="auto"/>
      </w:pPr>
      <w:r>
        <w:rPr>
          <w:rFonts w:ascii="Arial" w:hAnsi="Arial"/>
          <w:b/>
          <w:color w:val="0F172A"/>
          <w:sz w:val="19"/>
        </w:rPr>
        <w:t xml:space="preserve">Lựa chọn Transcript: </w:t>
      </w:r>
      <w:r>
        <w:rPr>
          <w:rFonts w:ascii="Arial" w:hAnsi="Arial"/>
          <w:color w:val="1E293B"/>
          <w:sz w:val="19"/>
        </w:rPr>
        <w:t>Áp dụng các cờ chuẩn mực: --mane_select (chọn transcript chuẩn MANE Select được NCBI &amp; Ensembl thống nhất), --canonical, --protein, --hgvs, --symbol, --pick.</w:t>
      </w:r>
    </w:p>
    <w:p>
      <w:pPr>
        <w:pStyle w:val="ListBullet"/>
        <w:spacing w:before="20" w:after="40" w:line="276" w:lineRule="auto"/>
      </w:pPr>
      <w:r>
        <w:rPr>
          <w:rFonts w:ascii="Arial" w:hAnsi="Arial"/>
          <w:b/>
          <w:color w:val="0F172A"/>
          <w:sz w:val="19"/>
        </w:rPr>
        <w:t xml:space="preserve">Plugin SpliceAI: </w:t>
      </w:r>
      <w:r>
        <w:rPr>
          <w:rFonts w:ascii="Arial" w:hAnsi="Arial"/>
          <w:color w:val="1E293B"/>
          <w:sz w:val="19"/>
        </w:rPr>
        <w:t>Tích hợp file spliceai_scores.raw.snv.ensembl_mane_v1.4.grch38.vcf.gz, bóc tách chính xác 4 điểm số biến đổi vị trí cắt nối: DS_AG (Acceptor Gain), DS_AL (Acceptor Loss), DS_DG (Donor Gain), DS_DL (Donor Loss).</w:t>
      </w:r>
    </w:p>
    <w:p>
      <w:pPr>
        <w:pStyle w:val="ListBullet"/>
        <w:spacing w:before="20" w:after="40" w:line="276" w:lineRule="auto"/>
      </w:pPr>
      <w:r>
        <w:rPr>
          <w:rFonts w:ascii="Arial" w:hAnsi="Arial"/>
          <w:b/>
          <w:color w:val="0F172A"/>
          <w:sz w:val="19"/>
        </w:rPr>
        <w:t xml:space="preserve">Plugin dbNSFP v5.3.1a: </w:t>
      </w:r>
      <w:r>
        <w:rPr>
          <w:rFonts w:ascii="Arial" w:hAnsi="Arial"/>
          <w:color w:val="1E293B"/>
          <w:sz w:val="19"/>
        </w:rPr>
        <w:t>Tích hợp tệp dbNSFP5.3.1a_grch38.gz, trích xuất hệ thống điểm số bảo tồn tiến hóa đồ sộ: phyloP (100-way vertebrate, 470-way mammalian, 17-way primate), phastCons (100-way vertebrate, 470-way mammalian, 17-way primate), GERP++ (RS, NR) và GERP_92_mammals.</w:t>
      </w:r>
    </w:p>
    <w:p>
      <w:pPr>
        <w:pStyle w:val="ListBullet"/>
        <w:spacing w:before="20" w:after="40" w:line="276" w:lineRule="auto"/>
      </w:pPr>
      <w:r>
        <w:rPr>
          <w:rFonts w:ascii="Arial" w:hAnsi="Arial"/>
          <w:b/>
          <w:color w:val="0F172A"/>
          <w:sz w:val="19"/>
        </w:rPr>
        <w:t xml:space="preserve">Hậu xử lý &amp; Làm sạch: </w:t>
      </w:r>
      <w:r>
        <w:rPr>
          <w:rFonts w:ascii="Arial" w:hAnsi="Arial"/>
          <w:color w:val="1E293B"/>
          <w:sz w:val="19"/>
        </w:rPr>
        <w:t>Sau khi có kết quả VEP, tập dữ liệu được lọc thuần missense_variant, điền 0 cho các giá trị tần số alen bị thiếu (AF, gnomADe_AF) do đặc thù biến thể hiếm không có trong quần thể, và ghép nối (Left Join) trường LastEvaluated từ tệp raw thông qua khóa định danh chuẩn hóa Variant_ID = CHROM_POS_REF_ALT.</w:t>
      </w:r>
    </w:p>
    <w:tbl>
      <w:tblPr>
        <w:tblW w:type="auto" w:w="0"/>
        <w:jc w:val="center"/>
        <w:tblLayout w:type="fixed"/>
        <w:tblLook w:firstColumn="1" w:firstRow="1" w:lastColumn="0" w:lastRow="0" w:noHBand="0" w:noVBand="1" w:val="04A0"/>
      </w:tblPr>
      <w:tblGrid>
        <w:gridCol w:w="9360"/>
      </w:tblGrid>
      <w:tr>
        <w:tc>
          <w:tcPr>
            <w:tcW w:type="dxa" w:w="9360"/>
            <w:shd w:fill="F0F9FF"/>
            <w:tcMar>
              <w:top w:w="160" w:type="dxa"/>
              <w:bottom w:w="160" w:type="dxa"/>
              <w:left w:w="240" w:type="dxa"/>
              <w:right w:w="200" w:type="dxa"/>
            </w:tcMar>
            <w:tcBorders>
              <w:top w:val="none"/>
              <w:bottom w:val="none"/>
              <w:left w:val="single" w:sz="24" w:space="0" w:color="0284C7"/>
              <w:right w:val="none"/>
            </w:tcBorders>
          </w:tcPr>
          <w:p>
            <w:pPr>
              <w:spacing w:before="40" w:after="80"/>
            </w:pPr>
            <w:r>
              <w:rPr>
                <w:rFonts w:ascii="Arial" w:hAnsi="Arial"/>
                <w:b/>
                <w:color w:val="0284C7"/>
                <w:sz w:val="20"/>
              </w:rPr>
              <w:t>📌 TIÊU CHUẨN ĐỊNH DANH DUY NHẤT (VARIANT_ID)</w:t>
              <w:br/>
            </w:r>
            <w:r>
              <w:rPr>
                <w:rFonts w:ascii="Arial" w:hAnsi="Arial"/>
                <w:color w:val="1E293B"/>
                <w:sz w:val="19"/>
              </w:rPr>
              <w:t>Khóa định danh Variant_ID = {CHROM}_{POS}_{REF}_{ALT} được chuẩn hóa bằng cách loại bỏ tiền tố 'chr', chuyển sang chữ in hoa, và khử đuôi float (.0) ở trường POS, bảo đảm tính duy nhất và khả năng liên kết chính xác 100% giữa mọi bảng dữ liệu trong suốt vòng đời dự án.</w:t>
            </w:r>
          </w:p>
        </w:tc>
      </w:tr>
    </w:tbl>
    <w:p>
      <w:pPr>
        <w:spacing w:after="80"/>
      </w:pPr>
    </w:p>
    <w:p>
      <w:pPr>
        <w:keepNext/>
        <w:spacing w:before="240" w:after="80"/>
      </w:pPr>
      <w:r>
        <w:rPr>
          <w:rFonts w:ascii="Arial" w:hAnsi="Arial"/>
          <w:b/>
          <w:color w:val="0D9488"/>
          <w:sz w:val="23"/>
        </w:rPr>
        <w:t>3.3 Phân chia Dữ liệu Chống Rò rỉ: Time-Aware &amp; Chromosome-Disjoint Greedy Partitioning (01_2_clinvar_train_val_test_split.ipynb)</w:t>
      </w:r>
    </w:p>
    <w:p>
      <w:pPr>
        <w:spacing w:before="0" w:after="80" w:line="276" w:lineRule="auto"/>
      </w:pPr>
      <w:r>
        <w:rPr>
          <w:rFonts w:ascii="Arial" w:hAnsi="Arial"/>
          <w:b/>
          <w:color w:val="0F172A"/>
          <w:sz w:val="19"/>
        </w:rPr>
        <w:t xml:space="preserve">Đột phá phương pháp luận: </w:t>
      </w:r>
      <w:r>
        <w:rPr>
          <w:rFonts w:ascii="Arial" w:hAnsi="Arial"/>
          <w:color w:val="1E293B"/>
          <w:sz w:val="19"/>
        </w:rPr>
        <w:t>Một trong những điểm cách tân quan trọng nhất của công trình nghiên cứu tại AiTA Lab là chiến lược phân chia dữ liệu kép (Dual-constraint Partitioning), giải quyết triệt để hai lỗ hổng rò rỉ dữ liệu kinh điển trong tin sinh học: rò rỉ không gian (Genomic Proximity / Gene Leakage) và rò rỉ dòng thời gian (Temporal Leakage).</w:t>
      </w:r>
    </w:p>
    <w:p>
      <w:pPr>
        <w:keepNext/>
        <w:spacing w:before="160" w:after="40"/>
      </w:pPr>
      <w:r>
        <w:rPr>
          <w:rFonts w:ascii="Arial" w:hAnsi="Arial"/>
          <w:b/>
          <w:color w:val="334155"/>
          <w:sz w:val="20"/>
        </w:rPr>
        <w:t>A. Mã hóa Độ tin cậy Đánh giá Lâm sàng (Review Rank)</w:t>
      </w:r>
    </w:p>
    <w:p>
      <w:pPr>
        <w:spacing w:before="0" w:after="80" w:line="276" w:lineRule="auto"/>
      </w:pPr>
      <w:r>
        <w:rPr>
          <w:rFonts w:ascii="Arial" w:hAnsi="Arial"/>
          <w:color w:val="1E293B"/>
          <w:sz w:val="19"/>
        </w:rPr>
        <w:t>ClinVar đánh giá bằng chứng theo hệ thống sao (Review Status). Nhóm nghiên cứu đã chuẩn hóa thành điểm ưu tiên (Review_Rank) từ 1 đến 5 để phục vụ thuật toán lấy mẫu có kiểm soát:</w:t>
      </w:r>
    </w:p>
    <w:tbl>
      <w:tblPr>
        <w:tblW w:type="auto" w:w="0"/>
        <w:jc w:val="center"/>
        <w:tblLayout w:type="fixed"/>
        <w:tblLook w:firstColumn="1" w:firstRow="1" w:lastColumn="0" w:lastRow="0" w:noHBand="0" w:noVBand="1" w:val="04A0"/>
      </w:tblPr>
      <w:tblGrid>
        <w:gridCol w:w="2340"/>
        <w:gridCol w:w="2340"/>
        <w:gridCol w:w="2340"/>
        <w:gridCol w:w="2340"/>
      </w:tblGrid>
      <w:tr>
        <w:trPr>
          <w:trHeight w:val="504"/>
        </w:trPr>
        <w:tc>
          <w:tcPr>
            <w:tcW w:type="dxa" w:w="1152"/>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Số sao</w:t>
            </w:r>
          </w:p>
        </w:tc>
        <w:tc>
          <w:tcPr>
            <w:tcW w:type="dxa" w:w="3600"/>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Tên ClinVar ReviewStatus</w:t>
            </w:r>
          </w:p>
        </w:tc>
        <w:tc>
          <w:tcPr>
            <w:tcW w:type="dxa" w:w="1440"/>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Review_Rank</w:t>
            </w:r>
          </w:p>
        </w:tc>
        <w:tc>
          <w:tcPr>
            <w:tcW w:type="dxa" w:w="3168"/>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Ý nghĩa Lâm sàng</w:t>
            </w:r>
          </w:p>
        </w:tc>
      </w:tr>
      <w:tr>
        <w:trPr>
          <w:trHeight w:val="403"/>
        </w:trPr>
        <w:tc>
          <w:tcPr>
            <w:tcW w:type="dxa" w:w="115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4 sao</w:t>
            </w:r>
          </w:p>
        </w:tc>
        <w:tc>
          <w:tcPr>
            <w:tcW w:type="dxa" w:w="360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practice guideline</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5</w:t>
            </w:r>
          </w:p>
        </w:tc>
        <w:tc>
          <w:tcPr>
            <w:tcW w:type="dxa" w:w="3168"/>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Hướng dẫn thực hành lâm sàng chính thức</w:t>
            </w:r>
          </w:p>
        </w:tc>
      </w:tr>
      <w:tr>
        <w:trPr>
          <w:trHeight w:val="403"/>
        </w:trPr>
        <w:tc>
          <w:tcPr>
            <w:tcW w:type="dxa" w:w="115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3 sao</w:t>
            </w:r>
          </w:p>
        </w:tc>
        <w:tc>
          <w:tcPr>
            <w:tcW w:type="dxa" w:w="360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reviewed by expert panel</w:t>
            </w:r>
          </w:p>
        </w:tc>
        <w:tc>
          <w:tcPr>
            <w:tcW w:type="dxa" w:w="144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4</w:t>
            </w:r>
          </w:p>
        </w:tc>
        <w:tc>
          <w:tcPr>
            <w:tcW w:type="dxa" w:w="3168"/>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Hội đồng chuyên gia quốc tế thẩm định</w:t>
            </w:r>
          </w:p>
        </w:tc>
      </w:tr>
      <w:tr>
        <w:trPr>
          <w:trHeight w:val="403"/>
        </w:trPr>
        <w:tc>
          <w:tcPr>
            <w:tcW w:type="dxa" w:w="115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2 sao</w:t>
            </w:r>
          </w:p>
        </w:tc>
        <w:tc>
          <w:tcPr>
            <w:tcW w:type="dxa" w:w="360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criteria provided, multiple submitters, no conflicts</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3</w:t>
            </w:r>
          </w:p>
        </w:tc>
        <w:tc>
          <w:tcPr>
            <w:tcW w:type="dxa" w:w="3168"/>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Nhiều đơn vị báo cáo đồng thuận, có tiêu chí rõ ràng</w:t>
            </w:r>
          </w:p>
        </w:tc>
      </w:tr>
      <w:tr>
        <w:trPr>
          <w:trHeight w:val="403"/>
        </w:trPr>
        <w:tc>
          <w:tcPr>
            <w:tcW w:type="dxa" w:w="115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 sao</w:t>
            </w:r>
          </w:p>
        </w:tc>
        <w:tc>
          <w:tcPr>
            <w:tcW w:type="dxa" w:w="360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criteria provided, single submitter</w:t>
            </w:r>
          </w:p>
        </w:tc>
        <w:tc>
          <w:tcPr>
            <w:tcW w:type="dxa" w:w="144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2</w:t>
            </w:r>
          </w:p>
        </w:tc>
        <w:tc>
          <w:tcPr>
            <w:tcW w:type="dxa" w:w="3168"/>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Một đơn vị báo cáo có tiêu chuẩn</w:t>
            </w:r>
          </w:p>
        </w:tc>
      </w:tr>
      <w:tr>
        <w:trPr>
          <w:trHeight w:val="403"/>
        </w:trPr>
        <w:tc>
          <w:tcPr>
            <w:tcW w:type="dxa" w:w="115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 sao</w:t>
            </w:r>
          </w:p>
        </w:tc>
        <w:tc>
          <w:tcPr>
            <w:tcW w:type="dxa" w:w="360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criteria provided, conflicting classifications</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w:t>
            </w:r>
          </w:p>
        </w:tc>
        <w:tc>
          <w:tcPr>
            <w:tcW w:type="dxa" w:w="3168"/>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Phân loại xung đột / có tranh cãi</w:t>
            </w:r>
          </w:p>
        </w:tc>
      </w:tr>
    </w:tbl>
    <w:p>
      <w:pPr>
        <w:spacing w:after="160"/>
      </w:pPr>
    </w:p>
    <w:p>
      <w:pPr>
        <w:keepNext/>
        <w:spacing w:before="160" w:after="40"/>
      </w:pPr>
      <w:r>
        <w:rPr>
          <w:rFonts w:ascii="Arial" w:hAnsi="Arial"/>
          <w:b/>
          <w:color w:val="334155"/>
          <w:sz w:val="20"/>
        </w:rPr>
        <w:t>B. Thuật toán Tham lam Phân bổ Nhiễm sắc thể (Time-Aware Chromosome Greedy Split)</w:t>
      </w:r>
    </w:p>
    <w:p>
      <w:pPr>
        <w:spacing w:before="0" w:after="80" w:line="276" w:lineRule="auto"/>
      </w:pPr>
      <w:r>
        <w:rPr>
          <w:rFonts w:ascii="Arial" w:hAnsi="Arial"/>
          <w:b/>
          <w:color w:val="0F172A"/>
          <w:sz w:val="19"/>
        </w:rPr>
        <w:t xml:space="preserve">Nguyên lý Chromosome-disjoint: </w:t>
      </w:r>
      <w:r>
        <w:rPr>
          <w:rFonts w:ascii="Arial" w:hAnsi="Arial"/>
          <w:color w:val="1E293B"/>
          <w:sz w:val="19"/>
        </w:rPr>
        <w:t>Thay vì chia ngẫu nhiên (Random Split) khiến các biến thể trên cùng một gen nằm rải rác ở cả Train và Test, thuật toán phân chia theo cụm Nhiễm sắc thể độc lập (Chromosome-disjoint). Toàn bộ các biến thể trên cùng một nhiễm sắc thể chỉ được phép thuộc về duy nhất một rương (Train, Val hoặc Test).</w:t>
      </w:r>
    </w:p>
    <w:p>
      <w:pPr>
        <w:spacing w:before="0" w:after="80" w:line="276" w:lineRule="auto"/>
      </w:pPr>
      <w:r>
        <w:rPr>
          <w:rFonts w:ascii="Arial" w:hAnsi="Arial"/>
          <w:b/>
          <w:color w:val="0F172A"/>
          <w:sz w:val="19"/>
        </w:rPr>
        <w:t xml:space="preserve">Ràng buộc thời gian khắt khe: </w:t>
      </w:r>
      <w:r>
        <w:rPr>
          <w:rFonts w:ascii="Arial" w:hAnsi="Arial"/>
          <w:color w:val="1E293B"/>
          <w:sz w:val="19"/>
        </w:rPr>
        <w:t xml:space="preserve">Đồng thời, dữ liệu được gắn chặt với mốc thời gian đánh giá lâm sàng LastEvaluated: </w:t>
        <w:br/>
        <w:t xml:space="preserve">   • Tập huấn luyện (Train): Các biến thể được đánh giá từ năm 2024 trở về trước (Year &lt;= 2024).</w:t>
        <w:br/>
        <w:t xml:space="preserve">   • Tập kiểm chuẩn (Validation): Các biến thể được đánh giá trong năm 2025 (Year == 2025).</w:t>
        <w:br/>
        <w:t xml:space="preserve">   • Tập kiểm thử độc lập (Test): Các biến thể được đánh giá từ năm 2026 trở đi (Year &gt;= 2026).</w:t>
        <w:br/>
        <w:t>Thuật toán tham lam (Greedy Algorithm) tính toán 'sản lượng' (yield) hợp lệ của từng nhiễm sắc thể theo từng rương thời gian, sau đó phân bổ từng nhiễm sắc thể vào rương đang 'đói' dữ liệu nhất nhằm đạt được tỷ lệ vàng xấp xỉ 80% Train - 10% Val - 10% Test.</w:t>
      </w:r>
    </w:p>
    <w:p>
      <w:pPr>
        <w:keepNext/>
        <w:spacing w:before="160" w:after="40"/>
      </w:pPr>
      <w:r>
        <w:rPr>
          <w:rFonts w:ascii="Arial" w:hAnsi="Arial"/>
          <w:b/>
          <w:color w:val="334155"/>
          <w:sz w:val="20"/>
        </w:rPr>
        <w:t>C. Thiết kế 3 Bộ Dữ liệu Thử nghiệm Chiến lược (Experimental Datasets)</w:t>
      </w:r>
    </w:p>
    <w:p>
      <w:pPr>
        <w:pStyle w:val="ListBullet"/>
        <w:spacing w:before="20" w:after="40" w:line="276" w:lineRule="auto"/>
      </w:pPr>
      <w:r>
        <w:rPr>
          <w:rFonts w:ascii="Arial" w:hAnsi="Arial"/>
          <w:b/>
          <w:color w:val="0F172A"/>
          <w:sz w:val="19"/>
        </w:rPr>
        <w:t xml:space="preserve">Bộ 1 (Full Unfiltered Time-Chr Split): </w:t>
      </w:r>
      <w:r>
        <w:rPr>
          <w:rFonts w:ascii="Arial" w:hAnsi="Arial"/>
          <w:color w:val="1E293B"/>
          <w:sz w:val="19"/>
        </w:rPr>
        <w:t>Bao gồm toàn bộ các biến thể hợp lệ thỏa mãn phân vùng nhiễm sắc thể và mốc thời gian nghiêm ngặt. Đây là tập chuẩn đại diện cho phân bố tự nhiên trong thực tế lâm sàng.</w:t>
      </w:r>
    </w:p>
    <w:p>
      <w:pPr>
        <w:pStyle w:val="ListBullet"/>
        <w:spacing w:before="20" w:after="40" w:line="276" w:lineRule="auto"/>
      </w:pPr>
      <w:r>
        <w:rPr>
          <w:rFonts w:ascii="Arial" w:hAnsi="Arial"/>
          <w:b/>
          <w:color w:val="0F172A"/>
          <w:sz w:val="19"/>
        </w:rPr>
        <w:t xml:space="preserve">Bộ 2 (Gene-Balanced / No Single-Label Genes): </w:t>
      </w:r>
      <w:r>
        <w:rPr>
          <w:rFonts w:ascii="Arial" w:hAnsi="Arial"/>
          <w:color w:val="1E293B"/>
          <w:sz w:val="19"/>
        </w:rPr>
        <w:t>Chỉ giữ lại các gen có xuất hiện CẢ HAI nhãn Benign và Pathogenic (nunique(Label) == 2). Bộ dữ liệu này triệt tiêu hoàn toàn khả năng mô hình học lối tắt (Shortcut Learning) phân loại biến thể dựa trên độ nhạy của gen mà buộc phải học bản chất đột biến phân tử.</w:t>
      </w:r>
    </w:p>
    <w:p>
      <w:pPr>
        <w:pStyle w:val="ListBullet"/>
        <w:spacing w:before="20" w:after="40" w:line="276" w:lineRule="auto"/>
      </w:pPr>
      <w:r>
        <w:rPr>
          <w:rFonts w:ascii="Arial" w:hAnsi="Arial"/>
          <w:b/>
          <w:color w:val="0F172A"/>
          <w:sz w:val="19"/>
        </w:rPr>
        <w:t xml:space="preserve">Bộ 3 (Downsampled 50:50 by Review Rank): </w:t>
      </w:r>
      <w:r>
        <w:rPr>
          <w:rFonts w:ascii="Arial" w:hAnsi="Arial"/>
          <w:color w:val="1E293B"/>
          <w:sz w:val="19"/>
        </w:rPr>
        <w:t>Thực hiện Downsampling tỉ lệ chính xác 50:50 (1 Pathogenic : 1 Benign) bên trong từng gen. Đặc biệt, quá trình loại bỏ biến thể dư thừa được điều hướng bởi Review_Rank: ưu tiên giữ lại các biến thể có thứ hạng bằng chứng cao nhất (4 sao, 3 sao) và loại bỏ biến thể yếu trước.</w:t>
      </w:r>
    </w:p>
    <w:p>
      <w:pPr>
        <w:keepNext/>
        <w:spacing w:before="240" w:after="80"/>
      </w:pPr>
      <w:r>
        <w:rPr>
          <w:rFonts w:ascii="Arial" w:hAnsi="Arial"/>
          <w:b/>
          <w:color w:val="0D9488"/>
          <w:sz w:val="23"/>
        </w:rPr>
        <w:t>3.4 Mở rộng Dữ liệu với dbSNP (02_1, 02_2, 02_3)</w:t>
      </w:r>
    </w:p>
    <w:p>
      <w:pPr>
        <w:spacing w:before="0" w:after="80" w:line="276" w:lineRule="auto"/>
      </w:pPr>
      <w:r>
        <w:rPr>
          <w:rFonts w:ascii="Arial" w:hAnsi="Arial"/>
          <w:b/>
          <w:color w:val="0F172A"/>
          <w:sz w:val="19"/>
        </w:rPr>
        <w:t xml:space="preserve">Mở rộng quy mô: </w:t>
      </w:r>
      <w:r>
        <w:rPr>
          <w:rFonts w:ascii="Arial" w:hAnsi="Arial"/>
          <w:color w:val="1E293B"/>
          <w:sz w:val="19"/>
        </w:rPr>
        <w:t>Để gia tăng tính đa dạng của dữ liệu và cung cấp thêm các biến thể đơn nucleotide hiếm gặp, nhóm nghiên cứu đã khai thác toàn bộ kho dữ liệu dbSNP VCF (GCF_000001405.40.gz):</w:t>
      </w:r>
    </w:p>
    <w:p>
      <w:pPr>
        <w:pStyle w:val="ListBullet"/>
        <w:spacing w:before="20" w:after="40" w:line="276" w:lineRule="auto"/>
      </w:pPr>
      <w:r>
        <w:rPr>
          <w:rFonts w:ascii="Arial" w:hAnsi="Arial"/>
          <w:b/>
          <w:color w:val="0F172A"/>
          <w:sz w:val="19"/>
        </w:rPr>
        <w:t xml:space="preserve">Bóc tách dbSNP: </w:t>
      </w:r>
      <w:r>
        <w:rPr>
          <w:rFonts w:ascii="Arial" w:hAnsi="Arial"/>
          <w:color w:val="1E293B"/>
          <w:sz w:val="19"/>
        </w:rPr>
        <w:t>02_1_dbsnp_raw_preprocess.ipynb: Quét tệp VCF nén dung lượng lớn, giải mã trường INFO, bóc tách nhãn lâm sàng CLNSIG, lọc các biến thể missense, chuẩn hóa tọa độ hệ gen. Thực hiện so khớp với tập ClinVar để lọc ra tập biến thể dbSNP hoàn toàn độc lập (dbsnp_unique_for_VEP.parquet).</w:t>
      </w:r>
    </w:p>
    <w:p>
      <w:pPr>
        <w:pStyle w:val="ListBullet"/>
        <w:spacing w:before="20" w:after="40" w:line="276" w:lineRule="auto"/>
      </w:pPr>
      <w:r>
        <w:rPr>
          <w:rFonts w:ascii="Arial" w:hAnsi="Arial"/>
          <w:b/>
          <w:color w:val="0F172A"/>
          <w:sz w:val="19"/>
        </w:rPr>
        <w:t xml:space="preserve">Chú giải &amp; Hợp nhất: </w:t>
      </w:r>
      <w:r>
        <w:rPr>
          <w:rFonts w:ascii="Arial" w:hAnsi="Arial"/>
          <w:color w:val="1E293B"/>
          <w:sz w:val="19"/>
        </w:rPr>
        <w:t>02_2_dbsnp_vep_mapping.ipynb: Đưa tập biến thể dbSNP độc lập qua pipeline VEP Docker với các plugin SpliceAI và dbNSFP, sau đó hợp nhất dữ liệu với ClinVar tạo thành siêu tập dữ liệu clinvar_dbsnp_vep_merged_final.parquet.</w:t>
      </w:r>
    </w:p>
    <w:p>
      <w:pPr>
        <w:pStyle w:val="ListBullet"/>
        <w:spacing w:before="20" w:after="40" w:line="276" w:lineRule="auto"/>
      </w:pPr>
      <w:r>
        <w:rPr>
          <w:rFonts w:ascii="Arial" w:hAnsi="Arial"/>
          <w:b/>
          <w:color w:val="0F172A"/>
          <w:sz w:val="19"/>
        </w:rPr>
        <w:t xml:space="preserve">Phân chia tập hợp nhất: </w:t>
      </w:r>
      <w:r>
        <w:rPr>
          <w:rFonts w:ascii="Arial" w:hAnsi="Arial"/>
          <w:color w:val="1E293B"/>
          <w:sz w:val="19"/>
        </w:rPr>
        <w:t>02_3_dbsnp_clinvar_train_val_test_split.ipynb: Áp dụng thuật toán chia tập Greedy Time-Chr Disjoint trên tập hợp nhất, sinh ra các tệp huấn luyện mở rộng tương ứng.</w:t>
      </w:r>
    </w:p>
    <w:p>
      <w:pPr>
        <w:keepNext/>
        <w:spacing w:before="240" w:after="80"/>
      </w:pPr>
      <w:r>
        <w:rPr>
          <w:rFonts w:ascii="Arial" w:hAnsi="Arial"/>
          <w:b/>
          <w:color w:val="0D9488"/>
          <w:sz w:val="23"/>
        </w:rPr>
        <w:t>3.5 Xử lý Tập Biến thể Mang Ý nghĩa Chưa rõ - VUS (03_clinvar_vus.ipynb)</w:t>
      </w:r>
    </w:p>
    <w:p>
      <w:pPr>
        <w:spacing w:before="0" w:after="80" w:line="276" w:lineRule="auto"/>
      </w:pPr>
      <w:r>
        <w:rPr>
          <w:rFonts w:ascii="Arial" w:hAnsi="Arial"/>
          <w:b/>
          <w:color w:val="0F172A"/>
          <w:sz w:val="19"/>
        </w:rPr>
        <w:t xml:space="preserve">Ý nghĩa khoa học: </w:t>
      </w:r>
      <w:r>
        <w:rPr>
          <w:rFonts w:ascii="Arial" w:hAnsi="Arial"/>
          <w:color w:val="1E293B"/>
          <w:sz w:val="19"/>
        </w:rPr>
        <w:t>Các biến thể mang ý nghĩa chưa rõ (Variants of Uncertain Significance - VUS, ClinicalSignificance == 'Uncertain significance') chiếm tỷ trọng rất lớn trong thực tế lâm sàng di truyền. Chúng không thể sử dụng để huấn luyện mô hình có giám sát do thiếu nhãn chân lý, nhưng là đối tượng kiểm chứng vô giá để đánh giá năng lực suy luận tiến cứu (Prospective / Zero-shot Inference) của mô hình.</w:t>
      </w:r>
    </w:p>
    <w:p>
      <w:pPr>
        <w:pStyle w:val="ListBullet"/>
        <w:spacing w:before="20" w:after="40" w:line="276" w:lineRule="auto"/>
      </w:pPr>
      <w:r>
        <w:rPr>
          <w:rFonts w:ascii="Arial" w:hAnsi="Arial"/>
          <w:b/>
          <w:color w:val="0F172A"/>
          <w:sz w:val="19"/>
        </w:rPr>
        <w:t xml:space="preserve">Lọc thuần VUS: </w:t>
      </w:r>
      <w:r>
        <w:rPr>
          <w:rFonts w:ascii="Arial" w:hAnsi="Arial"/>
          <w:color w:val="1E293B"/>
          <w:sz w:val="19"/>
        </w:rPr>
        <w:t>Sàng lọc toàn bộ biến thể VUS missense trong ClinVar, loại bỏ hoàn toàn các biến thể có dữ liệu lỗi.</w:t>
      </w:r>
    </w:p>
    <w:p>
      <w:pPr>
        <w:pStyle w:val="ListBullet"/>
        <w:spacing w:before="20" w:after="40" w:line="276" w:lineRule="auto"/>
      </w:pPr>
      <w:r>
        <w:rPr>
          <w:rFonts w:ascii="Arial" w:hAnsi="Arial"/>
          <w:b/>
          <w:color w:val="0F172A"/>
          <w:sz w:val="19"/>
        </w:rPr>
        <w:t xml:space="preserve">Chú giải bảo tồn: </w:t>
      </w:r>
      <w:r>
        <w:rPr>
          <w:rFonts w:ascii="Arial" w:hAnsi="Arial"/>
          <w:color w:val="1E293B"/>
          <w:sz w:val="19"/>
        </w:rPr>
        <w:t>Chạy qua pipeline VEP Docker trích xuất đầy đủ hệ thống điểm số bảo tồn tiến hóa (phyloP, phastCons, GERP++) và biến đổi cắt nối RNA.</w:t>
      </w:r>
    </w:p>
    <w:p>
      <w:pPr>
        <w:pStyle w:val="ListBullet"/>
        <w:spacing w:before="20" w:after="40" w:line="276" w:lineRule="auto"/>
      </w:pPr>
      <w:r>
        <w:rPr>
          <w:rFonts w:ascii="Arial" w:hAnsi="Arial"/>
          <w:b/>
          <w:color w:val="0F172A"/>
          <w:sz w:val="19"/>
        </w:rPr>
        <w:t xml:space="preserve">Lưu trữ chuẩn hóa: </w:t>
      </w:r>
      <w:r>
        <w:rPr>
          <w:rFonts w:ascii="Arial" w:hAnsi="Arial"/>
          <w:color w:val="1E293B"/>
          <w:sz w:val="19"/>
        </w:rPr>
        <w:t>Xuất bản tệp clinvar_vus_vep_mapping_final.parquet phục vụ phân tích dự đoán và khai phá tri thức mới ở các module sau.</w:t>
      </w:r>
    </w:p>
    <w:p>
      <w:pPr>
        <w:keepNext/>
        <w:spacing w:before="240" w:after="80"/>
      </w:pPr>
      <w:r>
        <w:rPr>
          <w:rFonts w:ascii="Arial" w:hAnsi="Arial"/>
          <w:b/>
          <w:color w:val="0D9488"/>
          <w:sz w:val="23"/>
        </w:rPr>
        <w:t>3.6 Tiền xử lý các Bộ Benchmark Độc lập (03_*)</w:t>
      </w:r>
    </w:p>
    <w:p>
      <w:pPr>
        <w:spacing w:before="0" w:after="80" w:line="276" w:lineRule="auto"/>
      </w:pPr>
      <w:r>
        <w:rPr>
          <w:rFonts w:ascii="Arial" w:hAnsi="Arial"/>
          <w:color w:val="1E293B"/>
          <w:sz w:val="19"/>
        </w:rPr>
        <w:t>Để đảm bảo mô hình có năng lực tổng quát hóa cao và không bị overfit trên phân bố của ClinVar, Module 1 đã chuẩn bị sẵn 4 bộ kiểm chuẩn bên ngoài (Orthogonal / External Benchmarks):</w:t>
      </w:r>
    </w:p>
    <w:p>
      <w:pPr>
        <w:pStyle w:val="ListBullet"/>
        <w:spacing w:before="20" w:after="40" w:line="276" w:lineRule="auto"/>
      </w:pPr>
      <w:r>
        <w:rPr>
          <w:rFonts w:ascii="Arial" w:hAnsi="Arial"/>
          <w:b/>
          <w:color w:val="0F172A"/>
          <w:sz w:val="19"/>
        </w:rPr>
        <w:t xml:space="preserve">1. ClinVar High-Quality (HQ): </w:t>
      </w:r>
      <w:r>
        <w:rPr>
          <w:rFonts w:ascii="Arial" w:hAnsi="Arial"/>
          <w:color w:val="1E293B"/>
          <w:sz w:val="19"/>
        </w:rPr>
        <w:t>03_clinvar_hq_test_benchmark_data_preprocess.ipynb: Trích xuất tập biến thể ClinVar chất lượng cao (ReviewStatus &gt;= 2 sao, đa nguồn gửi và không xung đột).</w:t>
      </w:r>
    </w:p>
    <w:p>
      <w:pPr>
        <w:pStyle w:val="ListBullet"/>
        <w:spacing w:before="20" w:after="40" w:line="276" w:lineRule="auto"/>
      </w:pPr>
      <w:r>
        <w:rPr>
          <w:rFonts w:ascii="Arial" w:hAnsi="Arial"/>
          <w:b/>
          <w:color w:val="0F172A"/>
          <w:sz w:val="19"/>
        </w:rPr>
        <w:t xml:space="preserve">2. ProteinGym Clinical Benchmark: </w:t>
      </w:r>
      <w:r>
        <w:rPr>
          <w:rFonts w:ascii="Arial" w:hAnsi="Arial"/>
          <w:color w:val="1E293B"/>
          <w:sz w:val="19"/>
        </w:rPr>
        <w:t>03_proteingym_test_benchmark_data_preprocess.ipynb: Hợp nhất hàng ngàn tệp đo thực nghiệm đột biến lâm sàng từ ProteinGym, chuyển đổi ký hiệu axit amin sang danh pháp HGVS, ánh xạ sang tọa độ hệ gen GRCh38 và chú giải VEP.</w:t>
      </w:r>
    </w:p>
    <w:p>
      <w:pPr>
        <w:pStyle w:val="ListBullet"/>
        <w:spacing w:before="20" w:after="40" w:line="276" w:lineRule="auto"/>
      </w:pPr>
      <w:r>
        <w:rPr>
          <w:rFonts w:ascii="Arial" w:hAnsi="Arial"/>
          <w:b/>
          <w:color w:val="0F172A"/>
          <w:sz w:val="19"/>
        </w:rPr>
        <w:t xml:space="preserve">3. UniProt SwissProt Humsavar: </w:t>
      </w:r>
      <w:r>
        <w:rPr>
          <w:rFonts w:ascii="Arial" w:hAnsi="Arial"/>
          <w:color w:val="1E293B"/>
          <w:sz w:val="19"/>
        </w:rPr>
        <w:t>03_uniprot_test_benchmark_data_preprocess.ipynb: Khai thác kho dữ liệu SwissProt Humsavar, phân tách đột biến bệnh (Disease) và biến thể đa hình vô hại (Polymorphism), ánh xạ dbSNP rsID sang tọa độ hệ gen chuẩn GRCh38.</w:t>
      </w:r>
    </w:p>
    <w:p>
      <w:pPr>
        <w:pStyle w:val="ListBullet"/>
        <w:spacing w:before="20" w:after="40" w:line="276" w:lineRule="auto"/>
      </w:pPr>
      <w:r>
        <w:rPr>
          <w:rFonts w:ascii="Arial" w:hAnsi="Arial"/>
          <w:b/>
          <w:color w:val="0F172A"/>
          <w:sz w:val="19"/>
        </w:rPr>
        <w:t xml:space="preserve">4. MAVEDb Functional DMS (PTEN): </w:t>
      </w:r>
      <w:r>
        <w:rPr>
          <w:rFonts w:ascii="Arial" w:hAnsi="Arial"/>
          <w:color w:val="1E293B"/>
          <w:sz w:val="19"/>
        </w:rPr>
        <w:t>03_mavedb_test_benchmark_data_preprocess.ipynb: Xử lý dữ liệu đo chức năng thực nghiệm Deep Mutational Scanning (DMS) trên gen PTEN, phân loại nhãn dựa trên ngưỡng đo chức năng thực tế và ánh xạ sang transcript chuẩn ENST00000371953.</w:t>
      </w:r>
    </w:p>
    <w:p>
      <w:pPr>
        <w:keepNext/>
        <w:spacing w:before="240" w:after="80"/>
      </w:pPr>
      <w:r>
        <w:rPr>
          <w:rFonts w:ascii="Arial" w:hAnsi="Arial"/>
          <w:b/>
          <w:color w:val="0D9488"/>
          <w:sz w:val="23"/>
        </w:rPr>
        <w:t>3.7 Kiểm soát Rò rỉ Chéo và Cố định Nhiễm sắc thể Kiểm chuẩn (04_01_test_data_process_overlapping.ipynb)</w:t>
      </w:r>
    </w:p>
    <w:p>
      <w:pPr>
        <w:spacing w:before="0" w:after="80" w:line="276" w:lineRule="auto"/>
      </w:pPr>
      <w:r>
        <w:rPr>
          <w:rFonts w:ascii="Arial" w:hAnsi="Arial"/>
          <w:b/>
          <w:color w:val="0F172A"/>
          <w:sz w:val="19"/>
        </w:rPr>
        <w:t xml:space="preserve">Khử rò rỉ chéo: </w:t>
      </w:r>
      <w:r>
        <w:rPr>
          <w:rFonts w:ascii="Arial" w:hAnsi="Arial"/>
          <w:color w:val="1E293B"/>
          <w:sz w:val="19"/>
        </w:rPr>
        <w:t>Một sai lầm rất phổ biến trong các bài báo tin sinh học là để tập Benchmark chứa các biến thể đã từng xuất hiện trong tập Train. Notebook 04_01 thiết lập cơ chế kiểm soát chất lượng dữ liệu nghiêm ngặt:</w:t>
      </w:r>
    </w:p>
    <w:p>
      <w:pPr>
        <w:pStyle w:val="ListBullet"/>
        <w:spacing w:before="20" w:after="40" w:line="276" w:lineRule="auto"/>
      </w:pPr>
      <w:r>
        <w:rPr>
          <w:rFonts w:ascii="Arial" w:hAnsi="Arial"/>
          <w:b/>
          <w:color w:val="0F172A"/>
          <w:sz w:val="19"/>
        </w:rPr>
        <w:t xml:space="preserve">Tẩy sạch biến thể trùng: </w:t>
      </w:r>
      <w:r>
        <w:rPr>
          <w:rFonts w:ascii="Arial" w:hAnsi="Arial"/>
          <w:color w:val="1E293B"/>
          <w:sz w:val="19"/>
        </w:rPr>
        <w:t>Hàm check_cross_dataset_leakage quét giao điểm giữa tập Train (Bộ 1) và từng tập Benchmark, sau đó loại bỏ 100% mọi biến thể bị trùng lặp.</w:t>
      </w:r>
    </w:p>
    <w:p>
      <w:pPr>
        <w:pStyle w:val="ListBullet"/>
        <w:spacing w:before="20" w:after="40" w:line="276" w:lineRule="auto"/>
      </w:pPr>
      <w:r>
        <w:rPr>
          <w:rFonts w:ascii="Arial" w:hAnsi="Arial"/>
          <w:b/>
          <w:color w:val="0F172A"/>
          <w:sz w:val="19"/>
        </w:rPr>
        <w:t xml:space="preserve">Cố định NST Benchmark: </w:t>
      </w:r>
      <w:r>
        <w:rPr>
          <w:rFonts w:ascii="Arial" w:hAnsi="Arial"/>
          <w:color w:val="1E293B"/>
          <w:sz w:val="19"/>
        </w:rPr>
        <w:t>Để đồng bộ hóa không gian kiểm chuẩn và phục vụ đối sánh đa công cụ, tập Benchmark được lọc giữ lại trên các nhiễm sắc thể đại diện cố định: CHROM 10, 15, 20, Y.</w:t>
      </w:r>
    </w:p>
    <w:p>
      <w:pPr>
        <w:pStyle w:val="ListBullet"/>
        <w:spacing w:before="20" w:after="40" w:line="276" w:lineRule="auto"/>
      </w:pPr>
      <w:r>
        <w:rPr>
          <w:rFonts w:ascii="Arial" w:hAnsi="Arial"/>
          <w:b/>
          <w:color w:val="0F172A"/>
          <w:sz w:val="19"/>
        </w:rPr>
        <w:t xml:space="preserve">Sắp xếp sinh học: </w:t>
      </w:r>
      <w:r>
        <w:rPr>
          <w:rFonts w:ascii="Arial" w:hAnsi="Arial"/>
          <w:color w:val="1E293B"/>
          <w:sz w:val="19"/>
        </w:rPr>
        <w:t>Sắp xếp biến thể theo thứ tự sinh học chuẩn xác (Chromosome -&gt; Genomic Position dạng số nguyên).</w:t>
      </w:r>
    </w:p>
    <w:p>
      <w:pPr>
        <w:keepNext/>
        <w:spacing w:before="240" w:after="80"/>
      </w:pPr>
      <w:r>
        <w:rPr>
          <w:rFonts w:ascii="Arial" w:hAnsi="Arial"/>
          <w:b/>
          <w:color w:val="0D9488"/>
          <w:sz w:val="23"/>
        </w:rPr>
        <w:t>3.8 Chú giải Điểm số Hơn 25 Mô hình SOTA &amp; Ngưỡng Phân loại Lâm sàng (04_02_test_data_vep_mapping.ipynb)</w:t>
      </w:r>
    </w:p>
    <w:p>
      <w:pPr>
        <w:spacing w:before="0" w:after="80" w:line="276" w:lineRule="auto"/>
      </w:pPr>
      <w:r>
        <w:rPr>
          <w:rFonts w:ascii="Arial" w:hAnsi="Arial"/>
          <w:b/>
          <w:color w:val="0F172A"/>
          <w:sz w:val="19"/>
        </w:rPr>
        <w:t xml:space="preserve">Chú giải SOTA Baselines: </w:t>
      </w:r>
      <w:r>
        <w:rPr>
          <w:rFonts w:ascii="Arial" w:hAnsi="Arial"/>
          <w:color w:val="1E293B"/>
          <w:sz w:val="19"/>
        </w:rPr>
        <w:t>Để tiến hành kiểm chuẩn toàn diện ở Module 05, tập dữ liệu kiểm thử được chú giải đồng thời hơn 25 công cụ dự đoán SOTA hàng đầu thế giới thông qua VEP và dbNSFP. Nhóm nghiên cứu đã chuẩn hóa thuật toán gắp số thực bằng Regex và xây dựng hệ thống gán nhãn phân loại Damaging (D) vs Tolerated (T) theo đúng khuyến nghị của các bài báo gốc:</w:t>
      </w:r>
    </w:p>
    <w:tbl>
      <w:tblPr>
        <w:tblW w:type="auto" w:w="0"/>
        <w:jc w:val="center"/>
        <w:tblLayout w:type="fixed"/>
        <w:tblLook w:firstColumn="1" w:firstRow="1" w:lastColumn="0" w:lastRow="0" w:noHBand="0" w:noVBand="1" w:val="04A0"/>
      </w:tblPr>
      <w:tblGrid>
        <w:gridCol w:w="2340"/>
        <w:gridCol w:w="2340"/>
        <w:gridCol w:w="2340"/>
        <w:gridCol w:w="2340"/>
      </w:tblGrid>
      <w:tr>
        <w:trPr>
          <w:trHeight w:val="504"/>
        </w:trPr>
        <w:tc>
          <w:tcPr>
            <w:tcW w:type="dxa" w:w="1872"/>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Công cụ SOTA</w:t>
            </w:r>
          </w:p>
        </w:tc>
        <w:tc>
          <w:tcPr>
            <w:tcW w:type="dxa" w:w="2592"/>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Tên trường Điểm số</w:t>
            </w:r>
          </w:p>
        </w:tc>
        <w:tc>
          <w:tcPr>
            <w:tcW w:type="dxa" w:w="2592"/>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Ngưỡng quyết định (Cutoff)</w:t>
            </w:r>
          </w:p>
        </w:tc>
        <w:tc>
          <w:tcPr>
            <w:tcW w:type="dxa" w:w="2304"/>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Phân loại Lâm sàng</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AlphaMissense</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AlphaMissense_score</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0.56 (hoặc cột Pred)</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Gây bệnh / T: Lành tính</w:t>
            </w:r>
          </w:p>
        </w:tc>
      </w:tr>
      <w:tr>
        <w:trPr>
          <w:trHeight w:val="403"/>
        </w:trPr>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REVEL</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REVEL_score</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0.50</w:t>
            </w:r>
          </w:p>
        </w:tc>
        <w:tc>
          <w:tcPr>
            <w:tcW w:type="dxa" w:w="230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CADD</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CADD_phred</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phred &gt;= 20.0 (Top 1% biến thể đột biến)</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PHACTboost</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PHACTboost_score</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0.62 (Khuyến nghị bài báo gốc)</w:t>
            </w:r>
          </w:p>
        </w:tc>
        <w:tc>
          <w:tcPr>
            <w:tcW w:type="dxa" w:w="230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MutFormer</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MutFormer_score</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0.8838 (Khuyến nghị bài báo gốc)</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MVP</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MVP_score</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0.75 (Khuyến nghị bài báo gốc)</w:t>
            </w:r>
          </w:p>
        </w:tc>
        <w:tc>
          <w:tcPr>
            <w:tcW w:type="dxa" w:w="230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gMVP</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gMVP_score</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0.50</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MPC</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MPC_score</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2.00 (Tiêu chuẩn lâm sàng)</w:t>
            </w:r>
          </w:p>
        </w:tc>
        <w:tc>
          <w:tcPr>
            <w:tcW w:type="dxa" w:w="230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DANN</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DANN_score</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0.90</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VARITY_R</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VARITY_R_score</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0.50</w:t>
            </w:r>
          </w:p>
        </w:tc>
        <w:tc>
          <w:tcPr>
            <w:tcW w:type="dxa" w:w="230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VARITY_ER</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VARITY_ER_score</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score &gt;= 0.50</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Damaging / T: Tolerated</w:t>
            </w:r>
          </w:p>
        </w:tc>
      </w:tr>
      <w:tr>
        <w:trPr>
          <w:trHeight w:val="403"/>
        </w:trPr>
        <w:tc>
          <w:tcPr>
            <w:tcW w:type="dxa" w:w="187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SIFT / SIFT4G</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SIFT_pred / SIFT4G_pred</w:t>
            </w:r>
          </w:p>
        </w:tc>
        <w:tc>
          <w:tcPr>
            <w:tcW w:type="dxa" w:w="2592"/>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Nhãn trực tiếp từ VEP (D/T)</w:t>
            </w:r>
          </w:p>
        </w:tc>
        <w:tc>
          <w:tcPr>
            <w:tcW w:type="dxa" w:w="230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 Deleterious / T: Tolerated</w:t>
            </w:r>
          </w:p>
        </w:tc>
      </w:tr>
      <w:tr>
        <w:trPr>
          <w:trHeight w:val="403"/>
        </w:trPr>
        <w:tc>
          <w:tcPr>
            <w:tcW w:type="dxa" w:w="187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PolyPhen-2</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Polyphen2_HDIV/HVAR_pred</w:t>
            </w:r>
          </w:p>
        </w:tc>
        <w:tc>
          <w:tcPr>
            <w:tcW w:type="dxa" w:w="2592"/>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Nhãn trực tiếp từ VEP (D/P/B)</w:t>
            </w:r>
          </w:p>
        </w:tc>
        <w:tc>
          <w:tcPr>
            <w:tcW w:type="dxa" w:w="230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D/P: Damaging / B: Benign</w:t>
            </w:r>
          </w:p>
        </w:tc>
      </w:tr>
    </w:tbl>
    <w:p>
      <w:pPr>
        <w:spacing w:after="160"/>
      </w:pPr>
    </w:p>
    <w:p>
      <w:pPr>
        <w:spacing w:before="0" w:after="80" w:line="276" w:lineRule="auto"/>
      </w:pPr>
      <w:r>
        <w:rPr>
          <w:rFonts w:ascii="Arial" w:hAnsi="Arial"/>
          <w:b/>
          <w:color w:val="0F172A"/>
          <w:sz w:val="19"/>
        </w:rPr>
        <w:t xml:space="preserve">Lọc Complete-case công bằng: </w:t>
      </w:r>
      <w:r>
        <w:rPr>
          <w:rFonts w:ascii="Arial" w:hAnsi="Arial"/>
          <w:color w:val="1E293B"/>
          <w:sz w:val="19"/>
        </w:rPr>
        <w:t>Đặc biệt, notebook áp dụng cơ chế lọc Complete-case: tự động tìm kiếm tất cả các cột điểm số của các công cụ và chỉ giữ lại những dòng có đầy đủ điểm của toàn bộ 25+ công cụ so sánh. Điều này loại bỏ hoàn toàn thiên lệch do dữ liệu khuyết, đảm bảo tính công bằng tuyệt đối (Fair Benchmark) khi so sánh mô hình nghiên cứu với các công cụ hàng đầu thế giới.</w:t>
      </w:r>
    </w:p>
    <w:p>
      <w:pPr>
        <w:keepNext/>
        <w:spacing w:before="240" w:after="80"/>
      </w:pPr>
      <w:r>
        <w:rPr>
          <w:rFonts w:ascii="Arial" w:hAnsi="Arial"/>
          <w:b/>
          <w:color w:val="0D9488"/>
          <w:sz w:val="23"/>
        </w:rPr>
        <w:t>3.9 Trích xuất Chuỗi DNA 601bp &amp; Protein 101aa Phục vụ Foundation Models (05_map_ref_alt_sequence_dna.ipynb &amp; 05_map_ref_alt_sequence_protein.ipynb)</w:t>
      </w:r>
    </w:p>
    <w:p>
      <w:pPr>
        <w:spacing w:before="0" w:after="80" w:line="276" w:lineRule="auto"/>
      </w:pPr>
      <w:r>
        <w:rPr>
          <w:rFonts w:ascii="Arial" w:hAnsi="Arial"/>
          <w:b/>
          <w:color w:val="0F172A"/>
          <w:sz w:val="19"/>
        </w:rPr>
        <w:t xml:space="preserve">Chuẩn hóa chuỗi sinh học: </w:t>
      </w:r>
      <w:r>
        <w:rPr>
          <w:rFonts w:ascii="Arial" w:hAnsi="Arial"/>
          <w:color w:val="1E293B"/>
          <w:sz w:val="19"/>
        </w:rPr>
        <w:t>Để phục vụ việc trích xuất vector nhúng ngữ cảnh phân tử bằng các mô hình ngôn ngữ lớn sinh học (Nucleotide Transformer cho DNA và ESM-2 cho Protein), dữ liệu cần được chuẩn hóa thành các chuỗi có chiều dài cố định, căn giữa hoàn hảo tại vị trí biến thể:</w:t>
      </w:r>
    </w:p>
    <w:p>
      <w:pPr>
        <w:keepNext/>
        <w:spacing w:before="160" w:after="40"/>
      </w:pPr>
      <w:r>
        <w:rPr>
          <w:rFonts w:ascii="Arial" w:hAnsi="Arial"/>
          <w:b/>
          <w:color w:val="334155"/>
          <w:sz w:val="20"/>
        </w:rPr>
        <w:t>A. Chuẩn hóa Chuỗi DNA (601 bp)</w:t>
      </w:r>
    </w:p>
    <w:p>
      <w:pPr>
        <w:spacing w:before="0" w:after="80" w:line="276" w:lineRule="auto"/>
      </w:pPr>
      <w:r>
        <w:rPr>
          <w:rFonts w:ascii="Arial" w:hAnsi="Arial"/>
          <w:color w:val="1E293B"/>
          <w:sz w:val="19"/>
        </w:rPr>
        <w:t xml:space="preserve">Tệp FASTA Homo_sapiens.GRCh38.dna.primary_assembly.fa được nạp qua thư viện pyfaidx. Thiết lập cửa sổ đối xứng W = 300 bp quanh vị trí đột biến, sinh ra chuỗi có tổng độ dài đúng 601 bp (300 bp thượng nguồn + 1 base đột biến + 300 bp hạ nguồn). </w:t>
        <w:br/>
        <w:t xml:space="preserve">   • Thuật toán Symmetric Crop/Pad: Nếu vùng trích xuất chạm biên nhiễm sắc thể, chuỗi được đệm đối xứng bằng ký tự 'N'.</w:t>
        <w:br/>
        <w:t xml:space="preserve">   • Cơ chế kiểm định căn tâm (verify_ref_seq_center): Tự động đối chiếu base tại vị trí ref_seq[300] với base tham chiếu gốc từ tệp FASTA, ngăn chặn tuyệt đối lỗi lệch chỉ số (Index shift error).</w:t>
        <w:br/>
        <w:t xml:space="preserve">   • Sinh ra hai chuỗi: ref_seq (chuỗi hệ gen gốc) và alt_seq (chuỗi mang base đột biến ALT).</w:t>
      </w:r>
    </w:p>
    <w:p>
      <w:pPr>
        <w:keepNext/>
        <w:spacing w:before="160" w:after="40"/>
      </w:pPr>
      <w:r>
        <w:rPr>
          <w:rFonts w:ascii="Arial" w:hAnsi="Arial"/>
          <w:b/>
          <w:color w:val="334155"/>
          <w:sz w:val="20"/>
        </w:rPr>
        <w:t>B. Chuẩn hóa Chuỗi Protein (101 aa)</w:t>
      </w:r>
    </w:p>
    <w:p>
      <w:pPr>
        <w:spacing w:before="0" w:after="80" w:line="276" w:lineRule="auto"/>
      </w:pPr>
      <w:r>
        <w:rPr>
          <w:rFonts w:ascii="Arial" w:hAnsi="Arial"/>
          <w:color w:val="1E293B"/>
          <w:sz w:val="19"/>
        </w:rPr>
        <w:t>Tệp FASTA Homo_sapiens.GRCh38.pep.all.fa được nạp qua BioPython SeqIO, thiết lập bảng bóc tách mã peptide (ENSP) tương ứng với mã transcript (ENST) được chọn từ VEP. Thiết lập cửa sổ đối xứng W = 50 axit amin, sinh ra chuỗi protein có độ dài đúng 101 aa (50 aa trước + 1 aa đột biến + 50 aa sau).</w:t>
        <w:br/>
        <w:t xml:space="preserve">   • Đệm đối xứng: Nếu đột biến nằm ở đầu N-terminus hoặc đuôi C-terminus của chuỗi protein, vị trí thiếu hụt được đệm bằng ký tự chuẩn 'X'.</w:t>
        <w:br/>
        <w:t xml:space="preserve">   • Sinh ra hai chuỗi: prot_ref_seq (chuỗi axit amin gốc) và prot_alt_seq (chuỗi mang axit amin đột biến ALT).</w:t>
      </w:r>
    </w:p>
    <w:tbl>
      <w:tblPr>
        <w:tblW w:type="auto" w:w="0"/>
        <w:jc w:val="center"/>
        <w:tblLayout w:type="fixed"/>
        <w:tblLook w:firstColumn="1" w:firstRow="1" w:lastColumn="0" w:lastRow="0" w:noHBand="0" w:noVBand="1" w:val="04A0"/>
      </w:tblPr>
      <w:tblGrid>
        <w:gridCol w:w="9360"/>
      </w:tblGrid>
      <w:tr>
        <w:tc>
          <w:tcPr>
            <w:tcW w:type="dxa" w:w="9360"/>
            <w:shd w:fill="F0F9FF"/>
            <w:tcMar>
              <w:top w:w="160" w:type="dxa"/>
              <w:bottom w:w="160" w:type="dxa"/>
              <w:left w:w="240" w:type="dxa"/>
              <w:right w:w="200" w:type="dxa"/>
            </w:tcMar>
            <w:tcBorders>
              <w:top w:val="none"/>
              <w:bottom w:val="none"/>
              <w:left w:val="single" w:sz="24" w:space="0" w:color="0284C7"/>
              <w:right w:val="none"/>
            </w:tcBorders>
          </w:tcPr>
          <w:p>
            <w:pPr>
              <w:spacing w:before="40" w:after="80"/>
            </w:pPr>
            <w:r>
              <w:rPr>
                <w:rFonts w:ascii="Arial" w:hAnsi="Arial"/>
                <w:b/>
                <w:color w:val="0284C7"/>
                <w:sz w:val="20"/>
              </w:rPr>
              <w:t>📌 TỐI ƯU HÓA NGỮ CẢNH FOUNDATION MODEL</w:t>
              <w:br/>
            </w:r>
            <w:r>
              <w:rPr>
                <w:rFonts w:ascii="Arial" w:hAnsi="Arial"/>
                <w:color w:val="1E293B"/>
                <w:sz w:val="19"/>
              </w:rPr>
              <w:t>Độ dài cố định 601bp (DNA) và 101aa (Protein) được tối ưu hóa hoàn hảo cho cửa sổ ngữ cảnh của Nucleotide Transformer 500M (hỗ trợ phân tích vùng trùm lên 6-mer k-mers) và ESM-2 650M (nắm bắt cấu trúc bậc 2 và miền chức năng protein cục bộ).</w:t>
            </w:r>
          </w:p>
        </w:tc>
      </w:tr>
    </w:tbl>
    <w:p>
      <w:pPr>
        <w:spacing w:after="80"/>
      </w:pPr>
    </w:p>
    <w:p>
      <w:pPr>
        <w:keepNext/>
        <w:spacing w:before="320" w:after="120"/>
      </w:pPr>
      <w:r>
        <w:rPr>
          <w:rFonts w:ascii="Arial" w:hAnsi="Arial"/>
          <w:b/>
          <w:color w:val="1E3A8A"/>
          <w:sz w:val="28"/>
        </w:rPr>
        <w:t>4. Đặc tả Cấu trúc Dữ liệu Đầu ra (Output Data Schemas)</w:t>
      </w:r>
    </w:p>
    <w:p>
      <w:pPr>
        <w:spacing w:before="0" w:after="80" w:line="276" w:lineRule="auto"/>
      </w:pPr>
      <w:r>
        <w:rPr>
          <w:rFonts w:ascii="Arial" w:hAnsi="Arial"/>
          <w:color w:val="1E293B"/>
          <w:sz w:val="19"/>
        </w:rPr>
        <w:t>Các tệp Parquet sau khi hoàn thiện Module 1 đều tuân thủ cấu trúc thuộc tính sinh học toàn diện, được chia thành 7 nhóm tính năng chính:</w:t>
      </w:r>
    </w:p>
    <w:tbl>
      <w:tblPr>
        <w:tblW w:type="auto" w:w="0"/>
        <w:jc w:val="center"/>
        <w:tblLayout w:type="fixed"/>
        <w:tblLook w:firstColumn="1" w:firstRow="1" w:lastColumn="0" w:lastRow="0" w:noHBand="0" w:noVBand="1" w:val="04A0"/>
      </w:tblPr>
      <w:tblGrid>
        <w:gridCol w:w="2340"/>
        <w:gridCol w:w="2340"/>
        <w:gridCol w:w="2340"/>
        <w:gridCol w:w="2340"/>
      </w:tblGrid>
      <w:tr>
        <w:trPr>
          <w:trHeight w:val="504"/>
        </w:trPr>
        <w:tc>
          <w:tcPr>
            <w:tcW w:type="dxa" w:w="2016"/>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Nhóm Thuộc tính</w:t>
            </w:r>
          </w:p>
        </w:tc>
        <w:tc>
          <w:tcPr>
            <w:tcW w:type="dxa" w:w="2880"/>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Tên các Cột Cốt lõi</w:t>
            </w:r>
          </w:p>
        </w:tc>
        <w:tc>
          <w:tcPr>
            <w:tcW w:type="dxa" w:w="1440"/>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Kiểu Dữ liệu</w:t>
            </w:r>
          </w:p>
        </w:tc>
        <w:tc>
          <w:tcPr>
            <w:tcW w:type="dxa" w:w="3024"/>
            <w:vAlign w:val="center"/>
            <w:shd w:fill="1E3A8A"/>
            <w:tcMar>
              <w:top w:w="140" w:type="dxa"/>
              <w:bottom w:w="140" w:type="dxa"/>
              <w:left w:w="140" w:type="dxa"/>
              <w:right w:w="140" w:type="dxa"/>
            </w:tcMar>
            <w:tcBorders>
              <w:top w:val="single" w:sz="8" w:space="0" w:color="1E3A8A"/>
              <w:bottom w:val="single" w:sz="16" w:space="0" w:color="0F172A"/>
              <w:left w:val="single" w:sz="4" w:space="0" w:color="3B82F6"/>
              <w:right w:val="single" w:sz="4" w:space="0" w:color="3B82F6"/>
            </w:tcBorders>
          </w:tcPr>
          <w:p>
            <w:pPr>
              <w:spacing w:before="0" w:after="0"/>
              <w:jc w:val="center"/>
            </w:pPr>
            <w:r>
              <w:rPr>
                <w:rFonts w:ascii="Arial" w:hAnsi="Arial"/>
                <w:b/>
                <w:color w:val="FFFFFF"/>
                <w:sz w:val="18"/>
              </w:rPr>
              <w:t>Mô tả Ý nghĩa Sinh học</w:t>
            </w:r>
          </w:p>
        </w:tc>
      </w:tr>
      <w:tr>
        <w:trPr>
          <w:trHeight w:val="403"/>
        </w:trPr>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1. Tọa độ &amp; Định danh</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Variant_ID, CHROM, POS, REF, ALT, SYMBOL, ENST, ENSP</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string / int64</w:t>
            </w:r>
          </w:p>
        </w:tc>
        <w:tc>
          <w:tcPr>
            <w:tcW w:type="dxa" w:w="302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Định danh duy nhất, vị trí trên nhiễm sắc thể GRCh38, mã gen HGNC, mã transcript và protein.</w:t>
            </w:r>
          </w:p>
        </w:tc>
      </w:tr>
      <w:tr>
        <w:trPr>
          <w:trHeight w:val="403"/>
        </w:trPr>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2. Nhãn &amp; Đánh giá</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ClinicalSignificance, Label, ReviewStatus, Review_Rank, LastEvaluated, Split</w:t>
            </w:r>
          </w:p>
        </w:tc>
        <w:tc>
          <w:tcPr>
            <w:tcW w:type="dxa" w:w="144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string / int32 / float64</w:t>
            </w:r>
          </w:p>
        </w:tc>
        <w:tc>
          <w:tcPr>
            <w:tcW w:type="dxa" w:w="302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Nhãn nhị phân (1: Pathogenic, 0: Benign), mức sao ClinVar, năm thẩm định, phân vùng Train/Val/Test.</w:t>
            </w:r>
          </w:p>
        </w:tc>
      </w:tr>
      <w:tr>
        <w:trPr>
          <w:trHeight w:val="403"/>
        </w:trPr>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3. Tần số Quần thể</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AF, gnomADe_AF</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float64</w:t>
            </w:r>
          </w:p>
        </w:tc>
        <w:tc>
          <w:tcPr>
            <w:tcW w:type="dxa" w:w="302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Tần số alen trong quần thể 1000 Genomes và gnomAD exomes (biến thể hiếm được điền 0.0).</w:t>
            </w:r>
          </w:p>
        </w:tc>
      </w:tr>
      <w:tr>
        <w:trPr>
          <w:trHeight w:val="403"/>
        </w:trPr>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4. Bảo tồn Tiến hóa</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phyloP (100, 470, 17-way), phastCons (100, 470, 17-way), GERP++_RS, GERP++_NR, GERP_92_mammals</w:t>
            </w:r>
          </w:p>
        </w:tc>
        <w:tc>
          <w:tcPr>
            <w:tcW w:type="dxa" w:w="144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float64</w:t>
            </w:r>
          </w:p>
        </w:tc>
        <w:tc>
          <w:tcPr>
            <w:tcW w:type="dxa" w:w="302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Mức độ bảo tồn nguyên tử qua hàng triệu năm tiến hóa của động vật có vú, linh trưởng và động vật có xương sống.</w:t>
            </w:r>
          </w:p>
        </w:tc>
      </w:tr>
      <w:tr>
        <w:trPr>
          <w:trHeight w:val="403"/>
        </w:trPr>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5. Đột biến Cắt nối RNA</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SpliceAI_pred_DS_AG, DS_AL, DS_DG, DS_DL</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float64</w:t>
            </w:r>
          </w:p>
        </w:tc>
        <w:tc>
          <w:tcPr>
            <w:tcW w:type="dxa" w:w="302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Điểm số thay đổi vị trí nhận/cho cắt nối RNA (Acceptor/Donor Gain/Loss) dự đoán bởi SpliceAI.</w:t>
            </w:r>
          </w:p>
        </w:tc>
      </w:tr>
      <w:tr>
        <w:trPr>
          <w:trHeight w:val="403"/>
        </w:trPr>
        <w:tc>
          <w:tcPr>
            <w:tcW w:type="dxa" w:w="2016"/>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6. Điểm số SOTA Baselines</w:t>
            </w:r>
          </w:p>
        </w:tc>
        <w:tc>
          <w:tcPr>
            <w:tcW w:type="dxa" w:w="288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AlphaMissense_score, REVEL_score, CADD_phred, PHACTboost_score, MutFormer_score, MVP_score, MPC_score...</w:t>
            </w:r>
          </w:p>
        </w:tc>
        <w:tc>
          <w:tcPr>
            <w:tcW w:type="dxa" w:w="1440"/>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float64 / string</w:t>
            </w:r>
          </w:p>
        </w:tc>
        <w:tc>
          <w:tcPr>
            <w:tcW w:type="dxa" w:w="3024"/>
            <w:vAlign w:val="center"/>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Điểm số liên tục và nhãn phân loại lâm sàng (D/T) của hơn 25 mô hình công bố quốc tế.</w:t>
            </w:r>
          </w:p>
        </w:tc>
      </w:tr>
      <w:tr>
        <w:trPr>
          <w:trHeight w:val="403"/>
        </w:trPr>
        <w:tc>
          <w:tcPr>
            <w:tcW w:type="dxa" w:w="2016"/>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7. Chuỗi Ngữ cảnh Sinh học</w:t>
            </w:r>
          </w:p>
        </w:tc>
        <w:tc>
          <w:tcPr>
            <w:tcW w:type="dxa" w:w="288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ref_seq, alt_seq (601 bp)</w:t>
              <w:br/>
              <w:t>prot_ref_seq, prot_alt_seq (101 aa)</w:t>
            </w:r>
          </w:p>
        </w:tc>
        <w:tc>
          <w:tcPr>
            <w:tcW w:type="dxa" w:w="1440"/>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string</w:t>
            </w:r>
          </w:p>
        </w:tc>
        <w:tc>
          <w:tcPr>
            <w:tcW w:type="dxa" w:w="3024"/>
            <w:vAlign w:val="center"/>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Arial" w:hAnsi="Arial"/>
                <w:color w:val="1E293B"/>
                <w:sz w:val="17"/>
              </w:rPr>
              <w:t>Chuỗi nucleotide và peptide đối xứng căn tâm, đệm N/X, phục vụ mô hình ngôn ngữ sinh học NT và ESM-2.</w:t>
            </w:r>
          </w:p>
        </w:tc>
      </w:tr>
    </w:tbl>
    <w:p>
      <w:pPr>
        <w:spacing w:after="240"/>
      </w:pPr>
    </w:p>
    <w:p>
      <w:pPr>
        <w:keepNext/>
        <w:spacing w:before="320" w:after="120"/>
      </w:pPr>
      <w:r>
        <w:rPr>
          <w:rFonts w:ascii="Arial" w:hAnsi="Arial"/>
          <w:b/>
          <w:color w:val="1E3A8A"/>
          <w:sz w:val="28"/>
        </w:rPr>
        <w:t>5. Giải pháp Kỹ thuật Đột phá và Bài học Kinh nghiệm</w:t>
      </w:r>
    </w:p>
    <w:p>
      <w:pPr>
        <w:spacing w:before="0" w:after="80" w:line="276" w:lineRule="auto"/>
      </w:pPr>
      <w:r>
        <w:rPr>
          <w:rFonts w:ascii="Arial" w:hAnsi="Arial"/>
          <w:b/>
          <w:color w:val="0F172A"/>
          <w:sz w:val="19"/>
        </w:rPr>
        <w:t xml:space="preserve">Đúc kết kỹ thuật: </w:t>
      </w:r>
      <w:r>
        <w:rPr>
          <w:rFonts w:ascii="Arial" w:hAnsi="Arial"/>
          <w:color w:val="1E293B"/>
          <w:sz w:val="19"/>
        </w:rPr>
        <w:t>Trong quá trình xây dựng Module 1, nhóm nghiên cứu đã đối mặt và vượt qua nhiều bài toán kỹ thuật phức tạp:</w:t>
      </w:r>
    </w:p>
    <w:p>
      <w:pPr>
        <w:pStyle w:val="ListBullet"/>
        <w:spacing w:before="20" w:after="40" w:line="276" w:lineRule="auto"/>
      </w:pPr>
      <w:r>
        <w:rPr>
          <w:rFonts w:ascii="Arial" w:hAnsi="Arial"/>
          <w:b/>
          <w:color w:val="0F172A"/>
          <w:sz w:val="19"/>
        </w:rPr>
        <w:t xml:space="preserve">1. Kỹ thuật Streaming PyArrow ParquetWriter: </w:t>
      </w:r>
      <w:r>
        <w:rPr>
          <w:rFonts w:ascii="Arial" w:hAnsi="Arial"/>
          <w:color w:val="1E293B"/>
          <w:sz w:val="19"/>
        </w:rPr>
        <w:t>Các tệp dữ liệu chú giải VCF và dbNSFP có kích thước giải nén vượt quá 50GB. Việc đọc toàn bộ vào bộ nhớ gây lỗi tràn RAM (OOM Crash). Giải pháp chia lô 50,000 dòng kết hợp PyArrow ParquetWriter ghi đĩa trực tiếp đã cho phép xử lý hàng triệu biến thể ổn định tuyệt đối với lượng RAM tiêu thụ cố định dưới 4GB.</w:t>
      </w:r>
    </w:p>
    <w:p>
      <w:pPr>
        <w:pStyle w:val="ListBullet"/>
        <w:spacing w:before="20" w:after="40" w:line="276" w:lineRule="auto"/>
      </w:pPr>
      <w:r>
        <w:rPr>
          <w:rFonts w:ascii="Arial" w:hAnsi="Arial"/>
          <w:b/>
          <w:color w:val="0F172A"/>
          <w:sz w:val="19"/>
        </w:rPr>
        <w:t xml:space="preserve">2. Loại trừ Data Leakage Kép: </w:t>
      </w:r>
      <w:r>
        <w:rPr>
          <w:rFonts w:ascii="Arial" w:hAnsi="Arial"/>
          <w:color w:val="1E293B"/>
          <w:sz w:val="19"/>
        </w:rPr>
        <w:t>Không dùng phép chia ngẫu nhiên (Random Split). Áp dụng phân vùng độc lập nhiễm sắc thể (Chromosome-disjoint) kết hợp chặn mốc thời gian đánh giá (Time-aware) đã loại trừ hoàn toàn nguy cơ rò rỉ gen tương đồng và rò rỉ tương lai.</w:t>
      </w:r>
    </w:p>
    <w:p>
      <w:pPr>
        <w:pStyle w:val="ListBullet"/>
        <w:spacing w:before="20" w:after="40" w:line="276" w:lineRule="auto"/>
      </w:pPr>
      <w:r>
        <w:rPr>
          <w:rFonts w:ascii="Arial" w:hAnsi="Arial"/>
          <w:b/>
          <w:color w:val="0F172A"/>
          <w:sz w:val="19"/>
        </w:rPr>
        <w:t xml:space="preserve">3. Giải quyết Gene Bias Triệt để: </w:t>
      </w:r>
      <w:r>
        <w:rPr>
          <w:rFonts w:ascii="Arial" w:hAnsi="Arial"/>
          <w:color w:val="1E293B"/>
          <w:sz w:val="19"/>
        </w:rPr>
        <w:t>Việc các gen nhạy cảm như BRCA1, TP53 bị gán nhãn lệch nghiêm trọng dễ khiến mô hình AI học vẹt tên gen. Việc sinh ra Bộ 2 (chỉ giữ gen có cả 2 nhãn) và Bộ 3 (cân bằng 50:50 trong từng gen có trọng số Review_Rank) tạo nên bộ kiểm nghiệm tiêu chuẩn để đánh giá khách quan năng lực học đặc trưng sinh học thực thụ.</w:t>
      </w:r>
    </w:p>
    <w:p>
      <w:pPr>
        <w:pStyle w:val="ListBullet"/>
        <w:spacing w:before="20" w:after="40" w:line="276" w:lineRule="auto"/>
      </w:pPr>
      <w:r>
        <w:rPr>
          <w:rFonts w:ascii="Arial" w:hAnsi="Arial"/>
          <w:b/>
          <w:color w:val="0F172A"/>
          <w:sz w:val="19"/>
        </w:rPr>
        <w:t xml:space="preserve">4. Căn tâm Chuỗi Tuyệt đối: </w:t>
      </w:r>
      <w:r>
        <w:rPr>
          <w:rFonts w:ascii="Arial" w:hAnsi="Arial"/>
          <w:color w:val="1E293B"/>
          <w:sz w:val="19"/>
        </w:rPr>
        <w:t>Cơ chế kiểm tra chéo (verify_ref_seq_center) tự động so sánh base tâm chuỗi trích xuất với tệp FASTA gốc đã phát hiện và khắc phục các sai số lệch tọa độ 0-based vs 1-based thường gặp trong các thư viện sinh học.</w:t>
      </w:r>
    </w:p>
    <w:p>
      <w:pPr>
        <w:keepNext/>
        <w:spacing w:before="320" w:after="120"/>
      </w:pPr>
      <w:r>
        <w:rPr>
          <w:rFonts w:ascii="Arial" w:hAnsi="Arial"/>
          <w:b/>
          <w:color w:val="1E3A8A"/>
          <w:sz w:val="28"/>
        </w:rPr>
        <w:t>6. Hướng dẫn Vận hành và Tái lập Toàn bộ Pipeline</w:t>
      </w:r>
    </w:p>
    <w:p>
      <w:pPr>
        <w:spacing w:before="0" w:after="80" w:line="276" w:lineRule="auto"/>
      </w:pPr>
      <w:r>
        <w:rPr>
          <w:rFonts w:ascii="Arial" w:hAnsi="Arial"/>
          <w:color w:val="1E293B"/>
          <w:sz w:val="19"/>
        </w:rPr>
        <w:t>Để tái lập kết quả của Module 1 trên môi trường máy chủ nghiên cứu mới, người dùng thực hiện theo quy trình chuẩn sau:</w:t>
      </w:r>
    </w:p>
    <w:p>
      <w:pPr>
        <w:spacing w:before="80" w:after="40"/>
      </w:pPr>
      <w:r>
        <w:rPr>
          <w:rFonts w:ascii="Arial" w:hAnsi="Arial"/>
          <w:b/>
          <w:color w:val="475569"/>
          <w:sz w:val="18"/>
        </w:rPr>
        <w:t>💻 Các bước thực thi Pipeline Module 1</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8" w:space="0" w:color="CBD5E1"/>
              <w:bottom w:val="single" w:sz="8" w:space="0" w:color="CBD5E1"/>
              <w:left w:val="single" w:sz="8" w:space="0" w:color="CBD5E1"/>
              <w:right w:val="single" w:sz="8" w:space="0" w:color="CBD5E1"/>
            </w:tcBorders>
          </w:tcPr>
          <w:p>
            <w:pPr>
              <w:spacing w:before="40" w:after="40" w:line="276" w:lineRule="auto"/>
            </w:pPr>
            <w:r>
              <w:rPr>
                <w:rFonts w:ascii="Consolas" w:hAnsi="Consolas"/>
                <w:color w:val="1E293B"/>
                <w:sz w:val="17"/>
              </w:rPr>
              <w:t># BƯỚC 1: Cấu hình Môi trường Docker và Thư mục Cache VEP</w:t>
              <w:br/>
              <w:t>docker pull ensemblorg/ensembl-vep:latest</w:t>
              <w:br/>
              <w:t># Đảm bảo các tài nguyên đã tải về ổ đĩa:</w:t>
              <w:br/>
              <w:t># - D:/vep_cache (Cache GRCh38 offline)</w:t>
              <w:br/>
              <w:t># - D:/vep_resources/Homo_sapiens.GRCh38.dna.primary_assembly.fa</w:t>
              <w:br/>
              <w:t># - D:/vep_resources/Homo_sapiens.GRCh38.pep.all.fa</w:t>
              <w:br/>
              <w:t># - D:/vep_resources/spliceai_scores.raw.snv.ensembl_mane_v1.4.grch38.vcf.gz</w:t>
              <w:br/>
              <w:t># - D:/vep_resources/dbNSFP5.3.1a_grch38.gz</w:t>
              <w:br/>
              <w:br/>
              <w:t># BƯỚC 2: Chạy Tuần tự 15 Notebooks trong core/module01_data_processing_vep</w:t>
              <w:br/>
              <w:t>jupyter nbconvert --to notebook --execute 00_clinvar_raw_preprocess.ipynb</w:t>
              <w:br/>
              <w:t>jupyter nbconvert --to notebook --execute 01_1_clinvar_vep_mapping.ipynb</w:t>
              <w:br/>
              <w:t>jupyter nbconvert --to notebook --execute 01_2_clinvar_train_val_test_split.ipynb</w:t>
              <w:br/>
              <w:t>jupyter nbconvert --to notebook --execute 02_1_dbsnp_raw_preprocess.ipynb</w:t>
              <w:br/>
              <w:t>jupyter nbconvert --to notebook --execute 02_2_dbsnp_vep_mapping.ipynb</w:t>
              <w:br/>
              <w:t>jupyter nbconvert --to notebook --execute 02_3_dbsnp_clinvar_train_val_test_split.ipynb</w:t>
              <w:br/>
              <w:t>jupyter nbconvert --to notebook --execute 03_clinvar_vus.ipynb</w:t>
              <w:br/>
              <w:t>jupyter nbconvert --to notebook --execute 03_clinvar_hq_test_benchmark_data_preprocess.ipynb</w:t>
              <w:br/>
              <w:t>jupyter nbconvert --to notebook --execute 03_proteingym_test_benchmark_data_preprocess.ipynb</w:t>
              <w:br/>
              <w:t>jupyter nbconvert --to notebook --execute 03_uniprot_test_benchmark_data_preprocess.ipynb</w:t>
              <w:br/>
              <w:t>jupyter nbconvert --to notebook --execute 03_mavedb_test_benchmark_data_preprocess.ipynb</w:t>
              <w:br/>
              <w:t>jupyter nbconvert --to notebook --execute 04_01_test_data_process_overlapping.ipynb</w:t>
              <w:br/>
              <w:t>jupyter nbconvert --to notebook --execute 04_02_test_data_vep_mapping.ipynb</w:t>
              <w:br/>
              <w:t>jupyter nbconvert --to notebook --execute 05_map_ref_alt_sequence_dna.ipynb</w:t>
              <w:br/>
              <w:t>jupyter nbconvert --to notebook --execute 05_map_ref_alt_sequence_protein.ipynb</w:t>
            </w:r>
          </w:p>
        </w:tc>
      </w:tr>
    </w:tbl>
    <w:p>
      <w:pPr>
        <w:spacing w:after="80"/>
      </w:pPr>
    </w:p>
    <w:p>
      <w:pPr>
        <w:keepNext/>
        <w:spacing w:before="320" w:after="120"/>
      </w:pPr>
      <w:r>
        <w:rPr>
          <w:rFonts w:ascii="Arial" w:hAnsi="Arial"/>
          <w:b/>
          <w:color w:val="1E3A8A"/>
          <w:sz w:val="28"/>
        </w:rPr>
        <w:t>7. Kết luận và Chuyển giao Hạ nguồn (Downstream Integration)</w:t>
      </w:r>
    </w:p>
    <w:p>
      <w:pPr>
        <w:spacing w:before="0" w:after="80" w:line="276" w:lineRule="auto"/>
      </w:pPr>
      <w:r>
        <w:rPr>
          <w:rFonts w:ascii="Arial" w:hAnsi="Arial"/>
          <w:b/>
          <w:color w:val="0F172A"/>
          <w:sz w:val="19"/>
        </w:rPr>
        <w:t xml:space="preserve">Đánh giá nghiệm thu: </w:t>
      </w:r>
      <w:r>
        <w:rPr>
          <w:rFonts w:ascii="Arial" w:hAnsi="Arial"/>
          <w:color w:val="1E293B"/>
          <w:sz w:val="19"/>
        </w:rPr>
        <w:t>Module 01: Data Processing &amp; VEP Annotation đã hoàn thành xuất sắc toàn bộ các mục tiêu đặt ra, cung cấp một hệ thống dữ liệu biến thể sai nghĩa chuẩn mực, không rò rỉ và giàu đặc trưng sinh học nhất hiện nay.</w:t>
      </w:r>
    </w:p>
    <w:p>
      <w:pPr>
        <w:pStyle w:val="ListBullet"/>
        <w:spacing w:before="20" w:after="40" w:line="276" w:lineRule="auto"/>
      </w:pPr>
      <w:r>
        <w:rPr>
          <w:rFonts w:ascii="Arial" w:hAnsi="Arial"/>
          <w:b/>
          <w:color w:val="0F172A"/>
          <w:sz w:val="19"/>
        </w:rPr>
        <w:t xml:space="preserve">Chuyển giao cho Module 2: </w:t>
      </w:r>
      <w:r>
        <w:rPr>
          <w:rFonts w:ascii="Arial" w:hAnsi="Arial"/>
          <w:color w:val="1E293B"/>
          <w:sz w:val="19"/>
        </w:rPr>
        <w:t>Module 02 (Foundation Model Embedding Extraction): Đọc trực tiếp các trường ref_seq/alt_seq và prot_ref_seq/prot_alt_seq thông qua BioSequenceDataset để nạp vào Nucleotide Transformer 500M và ESM-2 650M trích xuất vector đặc trưng phân tử.</w:t>
      </w:r>
    </w:p>
    <w:p>
      <w:pPr>
        <w:pStyle w:val="ListBullet"/>
        <w:spacing w:before="20" w:after="40" w:line="276" w:lineRule="auto"/>
      </w:pPr>
      <w:r>
        <w:rPr>
          <w:rFonts w:ascii="Arial" w:hAnsi="Arial"/>
          <w:b/>
          <w:color w:val="0F172A"/>
          <w:sz w:val="19"/>
        </w:rPr>
        <w:t xml:space="preserve">Chuyển giao cho Module 3 &amp; 4: </w:t>
      </w:r>
      <w:r>
        <w:rPr>
          <w:rFonts w:ascii="Arial" w:hAnsi="Arial"/>
          <w:color w:val="1E293B"/>
          <w:sz w:val="19"/>
        </w:rPr>
        <w:t>Module 03 &amp; 04 (Geometry &amp; Bio-Context Normalization): Tiếp nhận cấu trúc protein, tọa độ không gian 3D AlphaFold và chuẩn hóa phân bố điểm số bảo tồn, tần số alen gnomADe.</w:t>
      </w:r>
    </w:p>
    <w:p>
      <w:pPr>
        <w:pStyle w:val="ListBullet"/>
        <w:spacing w:before="20" w:after="40" w:line="276" w:lineRule="auto"/>
      </w:pPr>
      <w:r>
        <w:rPr>
          <w:rFonts w:ascii="Arial" w:hAnsi="Arial"/>
          <w:b/>
          <w:color w:val="0F172A"/>
          <w:sz w:val="19"/>
        </w:rPr>
        <w:t xml:space="preserve">Chuyển giao cho Module 5: </w:t>
      </w:r>
      <w:r>
        <w:rPr>
          <w:rFonts w:ascii="Arial" w:hAnsi="Arial"/>
          <w:color w:val="1E293B"/>
          <w:sz w:val="19"/>
        </w:rPr>
        <w:t>Module 05 (Fusion Classifier &amp; SOTA Benchmarking): Nạp các tệp train1..3_normalized, val_normalized, test_after_vep_final để huấn luyện các mô hình hợp nhất tiên tiến (Multi-head Cross Attention, Bi-directional Interaction, Tensor Gated Fusion, XGBoost) và so sánh trực tiếp trên tập 25+ mô hình SOTA thế giới.</w:t>
      </w:r>
    </w:p>
    <w:p>
      <w:pPr>
        <w:spacing w:before="320" w:after="0"/>
        <w:jc w:val="right"/>
      </w:pPr>
      <w:r>
        <w:rPr>
          <w:rFonts w:ascii="Arial" w:hAnsi="Arial"/>
          <w:i/>
          <w:color w:val="64748B"/>
          <w:sz w:val="19"/>
        </w:rPr>
        <w:t>Báo cáo biên soạn và kiểm duyệt bởi:</w:t>
        <w:br/>
        <w:t>AiTA Lab Research Team - FPT University</w:t>
        <w:br/>
        <w:t>Tháng 09,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