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3rfg16mgujd" w:id="0"/>
      <w:bookmarkEnd w:id="0"/>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An abstract illustration of interconnected digital documents and artificial intelligence circuitry, symbolizing documentation architecture and AI integration." id="2" name="image1.jpg"/>
            <a:graphic>
              <a:graphicData uri="http://schemas.openxmlformats.org/drawingml/2006/picture">
                <pic:pic>
                  <pic:nvPicPr>
                    <pic:cNvPr descr="An abstract illustration of interconnected digital documents and artificial intelligence circuitry, symbolizing documentation architecture and AI integration."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tzuj2nq8t9io" w:id="1"/>
      <w:bookmarkEnd w:id="1"/>
      <w:r w:rsidDel="00000000" w:rsidR="00000000" w:rsidRPr="00000000">
        <w:rPr>
          <w:rtl w:val="0"/>
        </w:rPr>
        <w:t xml:space="preserve">StoryForge AI Documentation Architecture Guide</w:t>
      </w:r>
    </w:p>
    <w:p w:rsidR="00000000" w:rsidDel="00000000" w:rsidP="00000000" w:rsidRDefault="00000000" w:rsidRPr="00000000" w14:paraId="00000004">
      <w:pPr>
        <w:rPr/>
      </w:pPr>
      <w:r w:rsidDel="00000000" w:rsidR="00000000" w:rsidRPr="00000000">
        <w:rPr>
          <w:rtl w:val="0"/>
        </w:rPr>
        <w:t xml:space="preserve">This guide outlines the documentation architecture for the StoryForge AI project, integrating the StoryCraft Protocol with the newly proposed Temporal AI framework and the dynamic SOPs directory. This structure ensures clarity across governance, technical contracts, and runtime execution logic.</w:t>
      </w:r>
    </w:p>
    <w:p w:rsidR="00000000" w:rsidDel="00000000" w:rsidP="00000000" w:rsidRDefault="00000000" w:rsidRPr="00000000" w14:paraId="00000005">
      <w:pPr>
        <w:pStyle w:val="Heading1"/>
        <w:rPr/>
      </w:pPr>
      <w:bookmarkStart w:colFirst="0" w:colLast="0" w:name="_qkfzjmjnl47k" w:id="2"/>
      <w:bookmarkEnd w:id="2"/>
      <w:r w:rsidDel="00000000" w:rsidR="00000000" w:rsidRPr="00000000">
        <w:rPr>
          <w:rtl w:val="0"/>
        </w:rPr>
        <w:t xml:space="preserve">📄 Core Project Documentation</w:t>
      </w:r>
    </w:p>
    <w:p w:rsidR="00000000" w:rsidDel="00000000" w:rsidP="00000000" w:rsidRDefault="00000000" w:rsidRPr="00000000" w14:paraId="00000006">
      <w:pPr>
        <w:rPr/>
      </w:pPr>
      <w:r w:rsidDel="00000000" w:rsidR="00000000" w:rsidRPr="00000000">
        <w:rPr>
          <w:rtl w:val="0"/>
        </w:rPr>
        <w:t xml:space="preserve">The following documents form the foundation of the StoryForge AI project, defining its structure and processes:</w:t>
      </w:r>
    </w:p>
    <w:p w:rsidR="00000000" w:rsidDel="00000000" w:rsidP="00000000" w:rsidRDefault="00000000" w:rsidRPr="00000000" w14:paraId="00000007">
      <w:pPr>
        <w:widowControl w:val="0"/>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8">
            <w:pPr>
              <w:rPr/>
            </w:pPr>
            <w:r w:rsidDel="00000000" w:rsidR="00000000" w:rsidRPr="00000000">
              <w:rPr>
                <w:rtl w:val="0"/>
              </w:rPr>
              <w:t xml:space="preserve">Doc Name</w:t>
            </w:r>
          </w:p>
        </w:tc>
        <w:tc>
          <w:tcPr/>
          <w:p w:rsidR="00000000" w:rsidDel="00000000" w:rsidP="00000000" w:rsidRDefault="00000000" w:rsidRPr="00000000" w14:paraId="00000009">
            <w:pPr>
              <w:rPr/>
            </w:pPr>
            <w:r w:rsidDel="00000000" w:rsidR="00000000" w:rsidRPr="00000000">
              <w:rPr>
                <w:rtl w:val="0"/>
              </w:rPr>
              <w:t xml:space="preserve">Description</w:t>
            </w:r>
          </w:p>
        </w:tc>
        <w:tc>
          <w:tcPr/>
          <w:p w:rsidR="00000000" w:rsidDel="00000000" w:rsidP="00000000" w:rsidRDefault="00000000" w:rsidRPr="00000000" w14:paraId="0000000A">
            <w:pPr>
              <w:rPr/>
            </w:pPr>
            <w:r w:rsidDel="00000000" w:rsidR="00000000" w:rsidRPr="00000000">
              <w:rPr>
                <w:rtl w:val="0"/>
              </w:rPr>
              <w:t xml:space="preserve">Role in Protocol</w:t>
            </w:r>
          </w:p>
        </w:tc>
      </w:tr>
      <w:tr>
        <w:trPr>
          <w:cantSplit w:val="0"/>
          <w:trHeight w:val="564.48" w:hRule="atLeast"/>
          <w:tblHeader w:val="0"/>
        </w:trPr>
        <w:tc>
          <w:tcPr/>
          <w:p w:rsidR="00000000" w:rsidDel="00000000" w:rsidP="00000000" w:rsidRDefault="00000000" w:rsidRPr="00000000" w14:paraId="0000000B">
            <w:pPr>
              <w:rPr/>
            </w:pPr>
            <w:r w:rsidDel="00000000" w:rsidR="00000000" w:rsidRPr="00000000">
              <w:rPr>
                <w:rtl w:val="0"/>
              </w:rPr>
              <w:t xml:space="preserve">PROTOCOL.md</w:t>
            </w:r>
          </w:p>
        </w:tc>
        <w:tc>
          <w:tcPr/>
          <w:p w:rsidR="00000000" w:rsidDel="00000000" w:rsidP="00000000" w:rsidRDefault="00000000" w:rsidRPr="00000000" w14:paraId="0000000C">
            <w:pPr>
              <w:rPr/>
            </w:pPr>
            <w:r w:rsidDel="00000000" w:rsidR="00000000" w:rsidRPr="00000000">
              <w:rPr>
                <w:rtl w:val="0"/>
              </w:rPr>
              <w:t xml:space="preserve">The "Constitution" of the project. Defines the logic-first workflow and agent orchestration.</w:t>
            </w:r>
          </w:p>
        </w:tc>
        <w:tc>
          <w:tcPr/>
          <w:p w:rsidR="00000000" w:rsidDel="00000000" w:rsidP="00000000" w:rsidRDefault="00000000" w:rsidRPr="00000000" w14:paraId="0000000D">
            <w:pPr>
              <w:rPr/>
            </w:pPr>
            <w:r w:rsidDel="00000000" w:rsidR="00000000" w:rsidRPr="00000000">
              <w:rPr>
                <w:rtl w:val="0"/>
              </w:rPr>
              <w:t xml:space="preserve">Governance</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rtl w:val="0"/>
              </w:rPr>
              <w:t xml:space="preserve">SERVICES.md</w:t>
            </w:r>
          </w:p>
        </w:tc>
        <w:tc>
          <w:tcPr/>
          <w:p w:rsidR="00000000" w:rsidDel="00000000" w:rsidP="00000000" w:rsidRDefault="00000000" w:rsidRPr="00000000" w14:paraId="0000000F">
            <w:pPr>
              <w:rPr/>
            </w:pPr>
            <w:r w:rsidDel="00000000" w:rsidR="00000000" w:rsidRPr="00000000">
              <w:rPr>
                <w:rtl w:val="0"/>
              </w:rPr>
              <w:t xml:space="preserve">The source of truth for all AI service contracts (e.g., generateNarrative, generateImage). Defines inputs, outputs, and models.</w:t>
            </w:r>
          </w:p>
        </w:tc>
        <w:tc>
          <w:tcPr/>
          <w:p w:rsidR="00000000" w:rsidDel="00000000" w:rsidP="00000000" w:rsidRDefault="00000000" w:rsidRPr="00000000" w14:paraId="00000010">
            <w:pPr>
              <w:rPr/>
            </w:pPr>
            <w:r w:rsidDel="00000000" w:rsidR="00000000" w:rsidRPr="00000000">
              <w:rPr>
                <w:rtl w:val="0"/>
              </w:rPr>
              <w:t xml:space="preserve">Technical Contract</w:t>
            </w:r>
          </w:p>
        </w:tc>
      </w:tr>
      <w:tr>
        <w:trPr>
          <w:cantSplit w:val="0"/>
          <w:trHeight w:val="564.48" w:hRule="atLeast"/>
          <w:tblHeader w:val="0"/>
        </w:trPr>
        <w:tc>
          <w:tcPr/>
          <w:p w:rsidR="00000000" w:rsidDel="00000000" w:rsidP="00000000" w:rsidRDefault="00000000" w:rsidRPr="00000000" w14:paraId="00000011">
            <w:pPr>
              <w:rPr/>
            </w:pPr>
            <w:r w:rsidDel="00000000" w:rsidR="00000000" w:rsidRPr="00000000">
              <w:rPr>
                <w:rtl w:val="0"/>
              </w:rPr>
              <w:t xml:space="preserve">AGENTS.md</w:t>
            </w:r>
          </w:p>
        </w:tc>
        <w:tc>
          <w:tcPr/>
          <w:p w:rsidR="00000000" w:rsidDel="00000000" w:rsidP="00000000" w:rsidRDefault="00000000" w:rsidRPr="00000000" w14:paraId="00000012">
            <w:pPr>
              <w:rPr/>
            </w:pPr>
            <w:r w:rsidDel="00000000" w:rsidR="00000000" w:rsidRPr="00000000">
              <w:rPr>
                <w:rtl w:val="0"/>
              </w:rPr>
              <w:t xml:space="preserve">A dynamic directory of all in-app creative agents (Master Writer, Songwriter, etc.), including their Base SOPs.</w:t>
            </w:r>
          </w:p>
        </w:tc>
        <w:tc>
          <w:tcPr/>
          <w:p w:rsidR="00000000" w:rsidDel="00000000" w:rsidP="00000000" w:rsidRDefault="00000000" w:rsidRPr="00000000" w14:paraId="00000013">
            <w:pPr>
              <w:rPr/>
            </w:pPr>
            <w:r w:rsidDel="00000000" w:rsidR="00000000" w:rsidRPr="00000000">
              <w:rPr>
                <w:rtl w:val="0"/>
              </w:rPr>
              <w:t xml:space="preserve">Agent Registry</w:t>
            </w:r>
          </w:p>
        </w:tc>
      </w:tr>
      <w:tr>
        <w:trPr>
          <w:cantSplit w:val="0"/>
          <w:trHeight w:val="564.48" w:hRule="atLeast"/>
          <w:tblHeader w:val="0"/>
        </w:trPr>
        <w:tc>
          <w:tcPr/>
          <w:p w:rsidR="00000000" w:rsidDel="00000000" w:rsidP="00000000" w:rsidRDefault="00000000" w:rsidRPr="00000000" w14:paraId="00000014">
            <w:pPr>
              <w:rPr/>
            </w:pPr>
            <w:r w:rsidDel="00000000" w:rsidR="00000000" w:rsidRPr="00000000">
              <w:rPr>
                <w:rtl w:val="0"/>
              </w:rPr>
              <w:t xml:space="preserve">TODO.md</w:t>
            </w:r>
          </w:p>
        </w:tc>
        <w:tc>
          <w:tcPr/>
          <w:p w:rsidR="00000000" w:rsidDel="00000000" w:rsidP="00000000" w:rsidRDefault="00000000" w:rsidRPr="00000000" w14:paraId="00000015">
            <w:pPr>
              <w:rPr/>
            </w:pPr>
            <w:r w:rsidDel="00000000" w:rsidR="00000000" w:rsidRPr="00000000">
              <w:rPr>
                <w:rtl w:val="0"/>
              </w:rPr>
              <w:t xml:space="preserve">A live roadmap of development tasks, categorized by priority and phase (e.g., V1.0, V1.1).</w:t>
            </w:r>
          </w:p>
        </w:tc>
        <w:tc>
          <w:tcPr/>
          <w:p w:rsidR="00000000" w:rsidDel="00000000" w:rsidP="00000000" w:rsidRDefault="00000000" w:rsidRPr="00000000" w14:paraId="00000016">
            <w:pPr>
              <w:rPr/>
            </w:pPr>
            <w:r w:rsidDel="00000000" w:rsidR="00000000" w:rsidRPr="00000000">
              <w:rPr>
                <w:rtl w:val="0"/>
              </w:rPr>
              <w:t xml:space="preserve">Task Management</w:t>
            </w:r>
          </w:p>
        </w:tc>
      </w:tr>
      <w:tr>
        <w:trPr>
          <w:cantSplit w:val="0"/>
          <w:trHeight w:val="564.48" w:hRule="atLeast"/>
          <w:tblHeader w:val="0"/>
        </w:trPr>
        <w:tc>
          <w:tcPr/>
          <w:p w:rsidR="00000000" w:rsidDel="00000000" w:rsidP="00000000" w:rsidRDefault="00000000" w:rsidRPr="00000000" w14:paraId="00000017">
            <w:pPr>
              <w:rPr/>
            </w:pPr>
            <w:r w:rsidDel="00000000" w:rsidR="00000000" w:rsidRPr="00000000">
              <w:rPr>
                <w:rtl w:val="0"/>
              </w:rPr>
              <w:t xml:space="preserve">DEPLOYMENT.md</w:t>
            </w:r>
          </w:p>
        </w:tc>
        <w:tc>
          <w:tcPr/>
          <w:p w:rsidR="00000000" w:rsidDel="00000000" w:rsidP="00000000" w:rsidRDefault="00000000" w:rsidRPr="00000000" w14:paraId="00000018">
            <w:pPr>
              <w:rPr/>
            </w:pPr>
            <w:r w:rsidDel="00000000" w:rsidR="00000000" w:rsidRPr="00000000">
              <w:rPr>
                <w:rtl w:val="0"/>
              </w:rPr>
              <w:t xml:space="preserve">Technical instructions for Docker builds, Local Dev, and Akash Network deployment.</w:t>
            </w:r>
          </w:p>
        </w:tc>
        <w:tc>
          <w:tcPr/>
          <w:p w:rsidR="00000000" w:rsidDel="00000000" w:rsidP="00000000" w:rsidRDefault="00000000" w:rsidRPr="00000000" w14:paraId="00000019">
            <w:pPr>
              <w:rPr/>
            </w:pPr>
            <w:r w:rsidDel="00000000" w:rsidR="00000000" w:rsidRPr="00000000">
              <w:rPr>
                <w:rtl w:val="0"/>
              </w:rPr>
              <w:t xml:space="preserve">Infrastructure</w:t>
            </w:r>
          </w:p>
        </w:tc>
      </w:tr>
      <w:tr>
        <w:trPr>
          <w:cantSplit w:val="0"/>
          <w:trHeight w:val="564.48" w:hRule="atLeast"/>
          <w:tblHeader w:val="0"/>
        </w:trPr>
        <w:tc>
          <w:tcPr/>
          <w:p w:rsidR="00000000" w:rsidDel="00000000" w:rsidP="00000000" w:rsidRDefault="00000000" w:rsidRPr="00000000" w14:paraId="0000001A">
            <w:pPr>
              <w:rPr/>
            </w:pPr>
            <w:r w:rsidDel="00000000" w:rsidR="00000000" w:rsidRPr="00000000">
              <w:rPr>
                <w:rtl w:val="0"/>
              </w:rPr>
              <w:t xml:space="preserve">README.md</w:t>
            </w:r>
          </w:p>
        </w:tc>
        <w:tc>
          <w:tcPr/>
          <w:p w:rsidR="00000000" w:rsidDel="00000000" w:rsidP="00000000" w:rsidRDefault="00000000" w:rsidRPr="00000000" w14:paraId="0000001B">
            <w:pPr>
              <w:rPr/>
            </w:pPr>
            <w:r w:rsidDel="00000000" w:rsidR="00000000" w:rsidRPr="00000000">
              <w:rPr>
                <w:rtl w:val="0"/>
              </w:rPr>
              <w:t xml:space="preserve">High-level project overview, feature list, and "Getting Started" guide.</w:t>
            </w:r>
          </w:p>
        </w:tc>
        <w:tc>
          <w:tcPr/>
          <w:p w:rsidR="00000000" w:rsidDel="00000000" w:rsidP="00000000" w:rsidRDefault="00000000" w:rsidRPr="00000000" w14:paraId="0000001C">
            <w:pPr>
              <w:rPr/>
            </w:pPr>
            <w:r w:rsidDel="00000000" w:rsidR="00000000" w:rsidRPr="00000000">
              <w:rPr>
                <w:rtl w:val="0"/>
              </w:rPr>
              <w:t xml:space="preserve">Project Entry</w:t>
            </w:r>
          </w:p>
        </w:tc>
      </w:tr>
    </w:tbl>
    <w:p w:rsidR="00000000" w:rsidDel="00000000" w:rsidP="00000000" w:rsidRDefault="00000000" w:rsidRPr="00000000" w14:paraId="0000001D">
      <w:pPr>
        <w:pStyle w:val="Heading1"/>
        <w:rPr/>
      </w:pPr>
      <w:bookmarkStart w:colFirst="0" w:colLast="0" w:name="_oblyxwt3erh0" w:id="3"/>
      <w:bookmarkEnd w:id="3"/>
      <w:r w:rsidDel="00000000" w:rsidR="00000000" w:rsidRPr="00000000">
        <w:rPr>
          <w:rtl w:val="0"/>
        </w:rPr>
        <w:t xml:space="preserve">🚀 New Proposed Documentation (Temporal AI Integration)</w:t>
      </w:r>
    </w:p>
    <w:p w:rsidR="00000000" w:rsidDel="00000000" w:rsidP="00000000" w:rsidRDefault="00000000" w:rsidRPr="00000000" w14:paraId="0000001E">
      <w:pPr>
        <w:rPr/>
      </w:pPr>
      <w:r w:rsidDel="00000000" w:rsidR="00000000" w:rsidRPr="00000000">
        <w:rPr>
          <w:rtl w:val="0"/>
        </w:rPr>
        <w:t xml:space="preserve">To support the transition to durable execution and resilient long-running tasks via the Temporal AI framework, the following documents are recommended:</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WORKFLOWS.md</w:t>
      </w:r>
      <w:r w:rsidDel="00000000" w:rsidR="00000000" w:rsidRPr="00000000">
        <w:rPr>
          <w:rtl w:val="0"/>
        </w:rPr>
        <w:t xml:space="preserve">: Defines the logic for long-running Temporal Workflows (e.g., AutonomousBookWorkflow). It should map high-level user goals to specific sequences of activities.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RELIABILITY.md</w:t>
      </w:r>
      <w:r w:rsidDel="00000000" w:rsidR="00000000" w:rsidRPr="00000000">
        <w:rPr>
          <w:rtl w:val="0"/>
        </w:rPr>
        <w:t xml:space="preserve">: Outlines the retry policies, exponential backoff configurations, and idempotency keys required for resilient AI API interactions.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STATE_SCHEMA.md</w:t>
      </w:r>
      <w:r w:rsidDel="00000000" w:rsidR="00000000" w:rsidRPr="00000000">
        <w:rPr>
          <w:rtl w:val="0"/>
        </w:rPr>
        <w:t xml:space="preserve">: Documents the structure of the "Durable Variables" stored within Temporal, ensuring consistency across worker restarts.</w:t>
      </w:r>
    </w:p>
    <w:p w:rsidR="00000000" w:rsidDel="00000000" w:rsidP="00000000" w:rsidRDefault="00000000" w:rsidRPr="00000000" w14:paraId="00000023">
      <w:pPr>
        <w:pStyle w:val="Heading1"/>
        <w:rPr/>
      </w:pPr>
      <w:bookmarkStart w:colFirst="0" w:colLast="0" w:name="_2hgp5tu552p8" w:id="4"/>
      <w:bookmarkEnd w:id="4"/>
      <w:r w:rsidDel="00000000" w:rsidR="00000000" w:rsidRPr="00000000">
        <w:rPr>
          <w:rtl w:val="0"/>
        </w:rPr>
        <w:t xml:space="preserve">📂 SOPs Folder Connection</w:t>
      </w:r>
    </w:p>
    <w:p w:rsidR="00000000" w:rsidDel="00000000" w:rsidP="00000000" w:rsidRDefault="00000000" w:rsidRPr="00000000" w14:paraId="00000024">
      <w:pPr>
        <w:rPr/>
      </w:pPr>
      <w:r w:rsidDel="00000000" w:rsidR="00000000" w:rsidRPr="00000000">
        <w:rPr>
          <w:rtl w:val="0"/>
        </w:rPr>
        <w:t xml:space="preserve">As per Directive 2 from the recent After Action Review (AAR), the system has been updated to decouple Standard Operating Procedures (SOPs) from the code bundle.</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Dynamic Loading:</w:t>
      </w:r>
      <w:r w:rsidDel="00000000" w:rsidR="00000000" w:rsidRPr="00000000">
        <w:rPr>
          <w:rtl w:val="0"/>
        </w:rPr>
        <w:t xml:space="preserve"> The application now fetches and parses files within the </w:t>
      </w: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folder at runtime.</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Master Writer Frameworks: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folder contains specialized narrative frameworks (e.g., "Angular Momentum," "Hero's Journey") that are appended to the Master Writer's Base SOP during execution.</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Extensibility:</w:t>
      </w:r>
      <w:r w:rsidDel="00000000" w:rsidR="00000000" w:rsidRPr="00000000">
        <w:rPr>
          <w:rtl w:val="0"/>
        </w:rPr>
        <w:t xml:space="preserve"> New agent behaviors can be added simply by dropping a new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 into the </w:t>
      </w: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directory, which is then automatically recognized by the ProjectContext and service layers.</w:t>
      </w:r>
    </w:p>
    <w:p w:rsidR="00000000" w:rsidDel="00000000" w:rsidP="00000000" w:rsidRDefault="00000000" w:rsidRPr="00000000" w14:paraId="00000029">
      <w:pPr>
        <w:pStyle w:val="Heading1"/>
        <w:rPr/>
      </w:pPr>
      <w:bookmarkStart w:colFirst="0" w:colLast="0" w:name="_5kz4ru65zqvp" w:id="5"/>
      <w:bookmarkEnd w:id="5"/>
      <w:r w:rsidDel="00000000" w:rsidR="00000000" w:rsidRPr="00000000">
        <w:rPr>
          <w:rtl w:val="0"/>
        </w:rPr>
        <w:t xml:space="preserve">🛠️ Implementation Guideline</w:t>
      </w:r>
    </w:p>
    <w:p w:rsidR="00000000" w:rsidDel="00000000" w:rsidP="00000000" w:rsidRDefault="00000000" w:rsidRPr="00000000" w14:paraId="0000002A">
      <w:pPr>
        <w:rPr/>
      </w:pPr>
      <w:r w:rsidDel="00000000" w:rsidR="00000000" w:rsidRPr="00000000">
        <w:rPr>
          <w:rtl w:val="0"/>
        </w:rPr>
        <w:t xml:space="preserve">When adding a new feature, developers must adhere to the following documentation workflow:</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TODO.md</w:t>
      </w:r>
      <w:r w:rsidDel="00000000" w:rsidR="00000000" w:rsidRPr="00000000">
        <w:rPr>
          <w:rtl w:val="0"/>
        </w:rPr>
        <w:t xml:space="preserve"> with the task.</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Define the contract in </w:t>
      </w:r>
      <w:r w:rsidDel="00000000" w:rsidR="00000000" w:rsidRPr="00000000">
        <w:rPr>
          <w:rFonts w:ascii="Roboto Mono" w:cs="Roboto Mono" w:eastAsia="Roboto Mono" w:hAnsi="Roboto Mono"/>
          <w:color w:val="188038"/>
          <w:rtl w:val="0"/>
        </w:rPr>
        <w:t xml:space="preserve">SERVICES.md</w:t>
      </w:r>
      <w:r w:rsidDel="00000000" w:rsidR="00000000" w:rsidRPr="00000000">
        <w:rPr>
          <w:rtl w:val="0"/>
        </w:rPr>
        <w:t xml:space="preserv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If it involves a new agent or behavior, add the corresponding SOP to the </w:t>
      </w: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folder.</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Reference these in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to ensure the UI can dynamically populate the new capabilities.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t xml:space="preserve">All documentation files should be reviewed by </w:t>
      </w:r>
      <w:r w:rsidDel="00000000" w:rsidR="00000000" w:rsidRPr="00000000">
        <w:rPr>
          <w:rtl w:val="0"/>
        </w:rPr>
        <w:t xml:space="preserve">Person</w:t>
      </w:r>
      <w:r w:rsidDel="00000000" w:rsidR="00000000" w:rsidRPr="00000000">
        <w:rPr>
          <w:rtl w:val="0"/>
        </w:rPr>
        <w:t xml:space="preserve"> and committed by </w:t>
      </w:r>
      <w:r w:rsidDel="00000000" w:rsidR="00000000" w:rsidRPr="00000000">
        <w:rPr>
          <w:rtl w:val="0"/>
        </w:rPr>
        <w:t xml:space="preserve">Date</w:t>
      </w:r>
      <w:r w:rsidDel="00000000" w:rsidR="00000000" w:rsidRPr="00000000">
        <w:rPr>
          <w:rtl w:val="0"/>
        </w:rPr>
        <w:t xml:space="preserve">. Additional guidance is available in </w:t>
      </w:r>
      <w:r w:rsidDel="00000000" w:rsidR="00000000" w:rsidRPr="00000000">
        <w:rPr>
          <w:rtl w:val="0"/>
        </w:rPr>
        <w:t xml:space="preserve">File</w:t>
      </w:r>
      <w:r w:rsidDel="00000000" w:rsidR="00000000" w:rsidRPr="00000000">
        <w:rPr>
          <w:rtl w:val="0"/>
        </w:rPr>
        <w:t xml:space="preserve">.</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zc37h723dls" w:id="6"/>
      <w:bookmarkEnd w:id="6"/>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n abstract, stylized illustration of a complex concept being broken down into five simple, sequential steps, represented by geometric shapes and directional arrows." id="1" name="image2.jpg"/>
            <a:graphic>
              <a:graphicData uri="http://schemas.openxmlformats.org/drawingml/2006/picture">
                <pic:pic>
                  <pic:nvPicPr>
                    <pic:cNvPr descr="An abstract, stylized illustration of a complex concept being broken down into five simple, sequential steps, represented by geometric shapes and directional arrows." id="0" name="image2.jpg"/>
                    <pic:cNvPicPr preferRelativeResize="0"/>
                  </pic:nvPicPr>
                  <pic:blipFill>
                    <a:blip r:embed="rId7"/>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Title"/>
        <w:rPr/>
      </w:pPr>
      <w:bookmarkStart w:colFirst="0" w:colLast="0" w:name="_4q7d9r5i7c3x" w:id="7"/>
      <w:bookmarkEnd w:id="7"/>
      <w:r w:rsidDel="00000000" w:rsidR="00000000" w:rsidRPr="00000000">
        <w:rPr>
          <w:rtl w:val="0"/>
        </w:rPr>
        <w:t xml:space="preserve">Visual Explainer Skill Integration: Streamlined Architecture</w:t>
      </w:r>
    </w:p>
    <w:p w:rsidR="00000000" w:rsidDel="00000000" w:rsidP="00000000" w:rsidRDefault="00000000" w:rsidRPr="00000000" w14:paraId="00000035">
      <w:pPr>
        <w:rPr/>
      </w:pPr>
      <w:r w:rsidDel="00000000" w:rsidR="00000000" w:rsidRPr="00000000">
        <w:rPr>
          <w:rtl w:val="0"/>
        </w:rPr>
        <w:t xml:space="preserve">This document outlines the streamlined architectural integration for the new "Visual Explainer" skill across the three core operational documents: </w:t>
      </w:r>
      <w:r w:rsidDel="00000000" w:rsidR="00000000" w:rsidRPr="00000000">
        <w:rPr>
          <w:rFonts w:ascii="Roboto Mono" w:cs="Roboto Mono" w:eastAsia="Roboto Mono" w:hAnsi="Roboto Mono"/>
          <w:color w:val="188038"/>
          <w:rtl w:val="0"/>
        </w:rPr>
        <w:t xml:space="preserve">SERVICES.md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directory. This structure adheres to the project's Implementation Guideline by defining the contract, linking the capability to an agent, and detailing the operational logic.</w:t>
      </w:r>
    </w:p>
    <w:p w:rsidR="00000000" w:rsidDel="00000000" w:rsidP="00000000" w:rsidRDefault="00000000" w:rsidRPr="00000000" w14:paraId="00000036">
      <w:pPr>
        <w:pStyle w:val="Heading1"/>
        <w:rPr/>
      </w:pPr>
      <w:bookmarkStart w:colFirst="0" w:colLast="0" w:name="_r207zc8dhtn0" w:id="8"/>
      <w:bookmarkEnd w:id="8"/>
      <w:r w:rsidDel="00000000" w:rsidR="00000000" w:rsidRPr="00000000">
        <w:rPr>
          <w:rtl w:val="0"/>
        </w:rPr>
        <w:t xml:space="preserve">1. Contract Definition (Update to </w:t>
      </w:r>
      <w:r w:rsidDel="00000000" w:rsidR="00000000" w:rsidRPr="00000000">
        <w:rPr>
          <w:rFonts w:ascii="Roboto Mono" w:cs="Roboto Mono" w:eastAsia="Roboto Mono" w:hAnsi="Roboto Mono"/>
          <w:color w:val="188038"/>
          <w:rtl w:val="0"/>
        </w:rPr>
        <w:t xml:space="preserve">SERVICES.md</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The service contract defines the essential function, inputs, and outputs for the new AI service, serving as the source of truth for the system. This simplified definition ensures clarity for all service consumers.</w:t>
      </w:r>
    </w:p>
    <w:p w:rsidR="00000000" w:rsidDel="00000000" w:rsidP="00000000" w:rsidRDefault="00000000" w:rsidRPr="00000000" w14:paraId="00000038">
      <w:pPr>
        <w:widowControl w:val="0"/>
        <w:rPr/>
      </w:pPr>
      <w:r w:rsidDel="00000000" w:rsidR="00000000" w:rsidRPr="00000000">
        <w:rPr>
          <w:rtl w:val="0"/>
        </w:rPr>
      </w:r>
    </w:p>
    <w:tbl>
      <w:tblPr>
        <w:tblStyle w:val="Table2"/>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39">
            <w:pPr>
              <w:rPr/>
            </w:pPr>
            <w:r w:rsidDel="00000000" w:rsidR="00000000" w:rsidRPr="00000000">
              <w:rPr>
                <w:rtl w:val="0"/>
              </w:rPr>
              <w:t xml:space="preserve">Service Name</w:t>
            </w:r>
          </w:p>
        </w:tc>
        <w:tc>
          <w:tcPr/>
          <w:p w:rsidR="00000000" w:rsidDel="00000000" w:rsidP="00000000" w:rsidRDefault="00000000" w:rsidRPr="00000000" w14:paraId="0000003A">
            <w:pPr>
              <w:rPr/>
            </w:pPr>
            <w:r w:rsidDel="00000000" w:rsidR="00000000" w:rsidRPr="00000000">
              <w:rPr>
                <w:rtl w:val="0"/>
              </w:rPr>
              <w:t xml:space="preserve">Description</w:t>
            </w:r>
          </w:p>
        </w:tc>
        <w:tc>
          <w:tcPr/>
          <w:p w:rsidR="00000000" w:rsidDel="00000000" w:rsidP="00000000" w:rsidRDefault="00000000" w:rsidRPr="00000000" w14:paraId="0000003B">
            <w:pPr>
              <w:rPr/>
            </w:pPr>
            <w:r w:rsidDel="00000000" w:rsidR="00000000" w:rsidRPr="00000000">
              <w:rPr>
                <w:rtl w:val="0"/>
              </w:rPr>
              <w:t xml:space="preserve">Inputs (Streamlined)</w:t>
            </w:r>
          </w:p>
        </w:tc>
        <w:tc>
          <w:tcPr/>
          <w:p w:rsidR="00000000" w:rsidDel="00000000" w:rsidP="00000000" w:rsidRDefault="00000000" w:rsidRPr="00000000" w14:paraId="0000003C">
            <w:pPr>
              <w:rPr/>
            </w:pPr>
            <w:r w:rsidDel="00000000" w:rsidR="00000000" w:rsidRPr="00000000">
              <w:rPr>
                <w:rtl w:val="0"/>
              </w:rPr>
              <w:t xml:space="preserve">Outputs</w:t>
            </w:r>
          </w:p>
        </w:tc>
      </w:tr>
      <w:tr>
        <w:trPr>
          <w:cantSplit w:val="0"/>
          <w:trHeight w:val="564.48" w:hRule="atLeast"/>
          <w:tblHeader w:val="0"/>
        </w:trPr>
        <w:tc>
          <w:tcPr/>
          <w:p w:rsidR="00000000" w:rsidDel="00000000" w:rsidP="00000000" w:rsidRDefault="00000000" w:rsidRPr="00000000" w14:paraId="0000003D">
            <w:pPr>
              <w:rPr/>
            </w:pPr>
            <w:r w:rsidDel="00000000" w:rsidR="00000000" w:rsidRPr="00000000">
              <w:rPr>
                <w:rtl w:val="0"/>
              </w:rPr>
              <w:t xml:space="preserve">generateVisualExplainer</w:t>
            </w:r>
          </w:p>
        </w:tc>
        <w:tc>
          <w:tcPr/>
          <w:p w:rsidR="00000000" w:rsidDel="00000000" w:rsidP="00000000" w:rsidRDefault="00000000" w:rsidRPr="00000000" w14:paraId="0000003E">
            <w:pPr>
              <w:rPr/>
            </w:pPr>
            <w:r w:rsidDel="00000000" w:rsidR="00000000" w:rsidRPr="00000000">
              <w:rPr>
                <w:rtl w:val="0"/>
              </w:rPr>
              <w:t xml:space="preserve">Generates a concise, visual step-by-step explanation of a complex concept.</w:t>
            </w:r>
          </w:p>
        </w:tc>
        <w:tc>
          <w:tcPr/>
          <w:p w:rsidR="00000000" w:rsidDel="00000000" w:rsidP="00000000" w:rsidRDefault="00000000" w:rsidRPr="00000000" w14:paraId="0000003F">
            <w:pPr>
              <w:rPr/>
            </w:pPr>
            <w:r w:rsidDel="00000000" w:rsidR="00000000" w:rsidRPr="00000000">
              <w:rPr>
                <w:rtl w:val="0"/>
              </w:rPr>
              <w:t xml:space="preserve">topic: str</w:t>
            </w:r>
          </w:p>
        </w:tc>
        <w:tc>
          <w:tcPr/>
          <w:p w:rsidR="00000000" w:rsidDel="00000000" w:rsidP="00000000" w:rsidRDefault="00000000" w:rsidRPr="00000000" w14:paraId="00000040">
            <w:pPr>
              <w:rPr/>
            </w:pPr>
            <w:r w:rsidDel="00000000" w:rsidR="00000000" w:rsidRPr="00000000">
              <w:rPr>
                <w:rtl w:val="0"/>
              </w:rPr>
              <w:t xml:space="preserve">json_prompt: str</w:t>
            </w:r>
          </w:p>
        </w:tc>
      </w:tr>
    </w:tbl>
    <w:p w:rsidR="00000000" w:rsidDel="00000000" w:rsidP="00000000" w:rsidRDefault="00000000" w:rsidRPr="00000000" w14:paraId="00000041">
      <w:pPr>
        <w:pStyle w:val="Heading1"/>
        <w:rPr/>
      </w:pPr>
      <w:bookmarkStart w:colFirst="0" w:colLast="0" w:name="_exrt2c94ys0c" w:id="9"/>
      <w:bookmarkEnd w:id="9"/>
      <w:r w:rsidDel="00000000" w:rsidR="00000000" w:rsidRPr="00000000">
        <w:rPr>
          <w:rtl w:val="0"/>
        </w:rPr>
        <w:t xml:space="preserve">2. Agent Linkage (Update to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The new skill is registered under the relevant agent, the Master Writer, by defining its specialized SOP file. This registration in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is critical for allowing the UI to dynamically recognize and populate the new capability.</w:t>
      </w:r>
    </w:p>
    <w:p w:rsidR="00000000" w:rsidDel="00000000" w:rsidP="00000000" w:rsidRDefault="00000000" w:rsidRPr="00000000" w14:paraId="00000043">
      <w:pPr>
        <w:widowControl w:val="0"/>
        <w:rPr/>
      </w:pPr>
      <w:r w:rsidDel="00000000" w:rsidR="00000000" w:rsidRPr="00000000">
        <w:rPr>
          <w:rtl w:val="0"/>
        </w:rPr>
      </w:r>
    </w:p>
    <w:tbl>
      <w:tblPr>
        <w:tblStyle w:val="Table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44">
            <w:pPr>
              <w:rPr/>
            </w:pPr>
            <w:r w:rsidDel="00000000" w:rsidR="00000000" w:rsidRPr="00000000">
              <w:rPr>
                <w:rtl w:val="0"/>
              </w:rPr>
              <w:t xml:space="preserve">Agent Name</w:t>
            </w:r>
          </w:p>
        </w:tc>
        <w:tc>
          <w:tcPr/>
          <w:p w:rsidR="00000000" w:rsidDel="00000000" w:rsidP="00000000" w:rsidRDefault="00000000" w:rsidRPr="00000000" w14:paraId="00000045">
            <w:pPr>
              <w:rPr/>
            </w:pPr>
            <w:r w:rsidDel="00000000" w:rsidR="00000000" w:rsidRPr="00000000">
              <w:rPr>
                <w:rtl w:val="0"/>
              </w:rPr>
              <w:t xml:space="preserve">Base SOP Location</w:t>
            </w:r>
          </w:p>
        </w:tc>
        <w:tc>
          <w:tcPr/>
          <w:p w:rsidR="00000000" w:rsidDel="00000000" w:rsidP="00000000" w:rsidRDefault="00000000" w:rsidRPr="00000000" w14:paraId="00000046">
            <w:pPr>
              <w:rPr/>
            </w:pPr>
            <w:r w:rsidDel="00000000" w:rsidR="00000000" w:rsidRPr="00000000">
              <w:rPr>
                <w:rtl w:val="0"/>
              </w:rPr>
              <w:t xml:space="preserve">New Skill SOPs (Appendable)</w:t>
            </w:r>
          </w:p>
        </w:tc>
      </w:tr>
      <w:tr>
        <w:trPr>
          <w:cantSplit w:val="0"/>
          <w:trHeight w:val="564.48" w:hRule="atLeast"/>
          <w:tblHeader w:val="0"/>
        </w:trPr>
        <w:tc>
          <w:tcPr/>
          <w:p w:rsidR="00000000" w:rsidDel="00000000" w:rsidP="00000000" w:rsidRDefault="00000000" w:rsidRPr="00000000" w14:paraId="00000047">
            <w:pPr>
              <w:rPr/>
            </w:pPr>
            <w:r w:rsidDel="00000000" w:rsidR="00000000" w:rsidRPr="00000000">
              <w:rPr>
                <w:rtl w:val="0"/>
              </w:rPr>
              <w:t xml:space="preserve">Master Writer</w:t>
            </w:r>
          </w:p>
        </w:tc>
        <w:tc>
          <w:tcPr/>
          <w:p w:rsidR="00000000" w:rsidDel="00000000" w:rsidP="00000000" w:rsidRDefault="00000000" w:rsidRPr="00000000" w14:paraId="00000048">
            <w:pPr>
              <w:rPr/>
            </w:pPr>
            <w:r w:rsidDel="00000000" w:rsidR="00000000" w:rsidRPr="00000000">
              <w:rPr>
                <w:rtl w:val="0"/>
              </w:rPr>
              <w:t xml:space="preserve">SOPs/base_writer.md</w:t>
            </w:r>
          </w:p>
        </w:tc>
        <w:tc>
          <w:tcPr/>
          <w:p w:rsidR="00000000" w:rsidDel="00000000" w:rsidP="00000000" w:rsidRDefault="00000000" w:rsidRPr="00000000" w14:paraId="00000049">
            <w:pPr>
              <w:rPr/>
            </w:pPr>
            <w:r w:rsidDel="00000000" w:rsidR="00000000" w:rsidRPr="00000000">
              <w:rPr>
                <w:rtl w:val="0"/>
              </w:rPr>
              <w:t xml:space="preserve">visual_explainer.md</w:t>
            </w:r>
          </w:p>
        </w:tc>
      </w:tr>
    </w:tbl>
    <w:p w:rsidR="00000000" w:rsidDel="00000000" w:rsidP="00000000" w:rsidRDefault="00000000" w:rsidRPr="00000000" w14:paraId="0000004A">
      <w:pPr>
        <w:pStyle w:val="Heading1"/>
        <w:rPr/>
      </w:pPr>
      <w:bookmarkStart w:colFirst="0" w:colLast="0" w:name="_npadykvou9mc" w:id="10"/>
      <w:bookmarkEnd w:id="10"/>
      <w:r w:rsidDel="00000000" w:rsidR="00000000" w:rsidRPr="00000000">
        <w:rPr>
          <w:rtl w:val="0"/>
        </w:rPr>
        <w:t xml:space="preserve">3. Operational Logic (New File: </w:t>
      </w:r>
      <w:r w:rsidDel="00000000" w:rsidR="00000000" w:rsidRPr="00000000">
        <w:rPr>
          <w:rFonts w:ascii="Roboto Mono" w:cs="Roboto Mono" w:eastAsia="Roboto Mono" w:hAnsi="Roboto Mono"/>
          <w:color w:val="188038"/>
          <w:rtl w:val="0"/>
        </w:rPr>
        <w:t xml:space="preserve">SOPs/visual_explainer.md</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This new SOP file contains the precise, logic-first instructions that define the skill's actual intelligence. The content focuses purely on the execution logic that is dynamically loaded and parsed at runtime, ensuring a streamlined operational structure.</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SOP</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**Directive:**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easy-to-understand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57">
      <w:pPr>
        <w:pStyle w:val="Heading1"/>
        <w:rPr/>
      </w:pPr>
      <w:bookmarkStart w:colFirst="0" w:colLast="0" w:name="_n7bs4hhtz9i1" w:id="11"/>
      <w:bookmarkEnd w:id="11"/>
      <w:r w:rsidDel="00000000" w:rsidR="00000000" w:rsidRPr="00000000">
        <w:rPr>
          <w:rtl w:val="0"/>
        </w:rPr>
        <w:t xml:space="preserve">Implementation Checklist</w:t>
      </w:r>
    </w:p>
    <w:p w:rsidR="00000000" w:rsidDel="00000000" w:rsidP="00000000" w:rsidRDefault="00000000" w:rsidRPr="00000000" w14:paraId="00000058">
      <w:pPr>
        <w:rPr/>
      </w:pPr>
      <w:r w:rsidDel="00000000" w:rsidR="00000000" w:rsidRPr="00000000">
        <w:rPr>
          <w:rtl w:val="0"/>
        </w:rPr>
        <w:t xml:space="preserve">To ensure full integration and adherence to the Documentation Architecture Guide, all documentation files should be reviewed by </w:t>
      </w:r>
      <w:r w:rsidDel="00000000" w:rsidR="00000000" w:rsidRPr="00000000">
        <w:rPr>
          <w:rtl w:val="0"/>
        </w:rPr>
        <w:t xml:space="preserve">Person</w:t>
      </w:r>
      <w:r w:rsidDel="00000000" w:rsidR="00000000" w:rsidRPr="00000000">
        <w:rPr>
          <w:rtl w:val="0"/>
        </w:rPr>
        <w:t xml:space="preserve"> and committed by </w:t>
      </w:r>
      <w:r w:rsidDel="00000000" w:rsidR="00000000" w:rsidRPr="00000000">
        <w:rPr>
          <w:rtl w:val="0"/>
        </w:rPr>
        <w:t xml:space="preserve">Date</w:t>
      </w:r>
      <w:r w:rsidDel="00000000" w:rsidR="00000000" w:rsidRPr="00000000">
        <w:rPr>
          <w:rtl w:val="0"/>
        </w:rPr>
        <w:t xml:space="preserve">. Additional reference material is located in </w:t>
      </w:r>
      <w:r w:rsidDel="00000000" w:rsidR="00000000" w:rsidRPr="00000000">
        <w:rPr>
          <w:rtl w:val="0"/>
        </w:rPr>
        <w:t xml:space="preserve">File</w:t>
      </w:r>
      <w:r w:rsidDel="00000000" w:rsidR="00000000" w:rsidRPr="00000000">
        <w:rPr>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