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00"/>
      </w:pPr>
      <w:r>
        <w:rPr>
          <w:rFonts w:ascii="Arial" w:hAnsi="Arial" w:eastAsia="Microsoft YaHei"/>
          <w:b/>
          <w:i w:val="0"/>
          <w:color w:val="2E74B5"/>
          <w:sz w:val="24"/>
        </w:rPr>
        <w:t>产品需求文档（下一阶段）</w:t>
      </w:r>
    </w:p>
    <w:p>
      <w:pPr>
        <w:spacing w:after="160"/>
      </w:pPr>
      <w:r>
        <w:rPr>
          <w:rFonts w:ascii="Arial" w:hAnsi="Arial" w:eastAsia="Microsoft YaHei"/>
          <w:b/>
          <w:i w:val="0"/>
          <w:color w:val="17365D"/>
          <w:sz w:val="50"/>
        </w:rPr>
        <w:t>智能经营智能体建设</w:t>
      </w:r>
    </w:p>
    <w:p>
      <w:pPr>
        <w:spacing w:after="400"/>
      </w:pPr>
      <w:r>
        <w:rPr>
          <w:rFonts w:ascii="Arial" w:hAnsi="Arial" w:eastAsia="Microsoft YaHei"/>
          <w:b w:val="0"/>
          <w:i w:val="0"/>
          <w:color w:val="667085"/>
          <w:sz w:val="26"/>
        </w:rPr>
        <w:t>从“带 AI 的经营分析系统”升级为“可靠、可控、可评测的经营智能体”</w:t>
      </w:r>
    </w:p>
    <w:p>
      <w:pPr>
        <w:spacing w:after="60"/>
      </w:pPr>
      <w:r>
        <w:rPr>
          <w:rFonts w:ascii="Arial" w:hAnsi="Arial" w:eastAsia="Microsoft YaHei"/>
          <w:b/>
          <w:i w:val="0"/>
          <w:color w:val="17365D"/>
          <w:sz w:val="21"/>
        </w:rPr>
        <w:t>版本：</w:t>
      </w:r>
      <w:r>
        <w:rPr>
          <w:rFonts w:ascii="Arial" w:hAnsi="Arial" w:eastAsia="Microsoft YaHei"/>
          <w:b w:val="0"/>
          <w:i w:val="0"/>
          <w:color w:val="1A1A1A"/>
          <w:sz w:val="21"/>
        </w:rPr>
        <w:t>V1.0</w:t>
      </w:r>
    </w:p>
    <w:p>
      <w:pPr>
        <w:spacing w:after="60"/>
      </w:pPr>
      <w:r>
        <w:rPr>
          <w:rFonts w:ascii="Arial" w:hAnsi="Arial" w:eastAsia="Microsoft YaHei"/>
          <w:b/>
          <w:i w:val="0"/>
          <w:color w:val="17365D"/>
          <w:sz w:val="21"/>
        </w:rPr>
        <w:t>文档状态：</w:t>
      </w:r>
      <w:r>
        <w:rPr>
          <w:rFonts w:ascii="Arial" w:hAnsi="Arial" w:eastAsia="Microsoft YaHei"/>
          <w:b w:val="0"/>
          <w:i w:val="0"/>
          <w:color w:val="1A1A1A"/>
          <w:sz w:val="21"/>
        </w:rPr>
        <w:t>产品与研发评审稿</w:t>
      </w:r>
    </w:p>
    <w:p>
      <w:pPr>
        <w:spacing w:after="60"/>
      </w:pPr>
      <w:r>
        <w:rPr>
          <w:rFonts w:ascii="Arial" w:hAnsi="Arial" w:eastAsia="Microsoft YaHei"/>
          <w:b/>
          <w:i w:val="0"/>
          <w:color w:val="17365D"/>
          <w:sz w:val="21"/>
        </w:rPr>
        <w:t>当前基线：</w:t>
      </w:r>
      <w:r>
        <w:rPr>
          <w:rFonts w:ascii="Arial" w:hAnsi="Arial" w:eastAsia="Microsoft YaHei"/>
          <w:b w:val="0"/>
          <w:i w:val="0"/>
          <w:color w:val="1A1A1A"/>
          <w:sz w:val="21"/>
        </w:rPr>
        <w:t>规则诊断、AI 解读与追问、证据追溯、整改任务、复盘与审计框架</w:t>
      </w:r>
    </w:p>
    <w:p>
      <w:pPr>
        <w:spacing w:after="60"/>
      </w:pPr>
      <w:r>
        <w:rPr>
          <w:rFonts w:ascii="Arial" w:hAnsi="Arial" w:eastAsia="Microsoft YaHei"/>
          <w:b/>
          <w:i w:val="0"/>
          <w:color w:val="17365D"/>
          <w:sz w:val="21"/>
        </w:rPr>
        <w:t>目标阶段：</w:t>
      </w:r>
      <w:r>
        <w:rPr>
          <w:rFonts w:ascii="Arial" w:hAnsi="Arial" w:eastAsia="Microsoft YaHei"/>
          <w:b w:val="0"/>
          <w:i w:val="0"/>
          <w:color w:val="1A1A1A"/>
          <w:sz w:val="21"/>
        </w:rPr>
        <w:t>内部受控试点版 / 智能体工作流 V1</w:t>
      </w:r>
    </w:p>
    <w:p>
      <w:pPr>
        <w:spacing w:after="60"/>
      </w:pPr>
      <w:r>
        <w:rPr>
          <w:rFonts w:ascii="Arial" w:hAnsi="Arial" w:eastAsia="Microsoft YaHei"/>
          <w:b/>
          <w:i w:val="0"/>
          <w:color w:val="17365D"/>
          <w:sz w:val="21"/>
        </w:rPr>
        <w:t>建议周期：</w:t>
      </w:r>
      <w:r>
        <w:rPr>
          <w:rFonts w:ascii="Arial" w:hAnsi="Arial" w:eastAsia="Microsoft YaHei"/>
          <w:b w:val="0"/>
          <w:i w:val="0"/>
          <w:color w:val="1A1A1A"/>
          <w:sz w:val="21"/>
        </w:rPr>
        <w:t>8 周</w:t>
      </w:r>
    </w:p>
    <w:p>
      <w:pPr>
        <w:spacing w:after="60"/>
      </w:pPr>
      <w:r>
        <w:rPr>
          <w:rFonts w:ascii="Arial" w:hAnsi="Arial" w:eastAsia="Microsoft YaHei"/>
          <w:b/>
          <w:i w:val="0"/>
          <w:color w:val="17365D"/>
          <w:sz w:val="21"/>
        </w:rPr>
        <w:t>编制日期：</w:t>
      </w:r>
      <w:r>
        <w:rPr>
          <w:rFonts w:ascii="Arial" w:hAnsi="Arial" w:eastAsia="Microsoft YaHei"/>
          <w:b w:val="0"/>
          <w:i w:val="0"/>
          <w:color w:val="1A1A1A"/>
          <w:sz w:val="21"/>
        </w:rPr>
        <w:t>2026 年 6 月 19 日</w:t>
      </w:r>
    </w:p>
    <w:p>
      <w:pPr>
        <w:pBdr>
          <w:bottom w:val="single" w:sz="12" w:space="1" w:color="2E74B5"/>
        </w:pBdr>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shd w:fill="EAF2F8"/>
          </w:tcPr>
          <w:p>
            <w:pPr>
              <w:spacing w:after="0"/>
            </w:pPr>
            <w:r>
              <w:rPr>
                <w:rFonts w:ascii="Arial" w:hAnsi="Arial" w:eastAsia="Microsoft YaHei"/>
                <w:b/>
                <w:i w:val="0"/>
                <w:color w:val="17365D"/>
                <w:sz w:val="21"/>
              </w:rPr>
              <w:t xml:space="preserve">核心判断 </w:t>
            </w:r>
            <w:r>
              <w:rPr>
                <w:rFonts w:ascii="Arial" w:hAnsi="Arial" w:eastAsia="Microsoft YaHei"/>
                <w:b w:val="0"/>
                <w:i w:val="0"/>
                <w:color w:val="17365D"/>
                <w:sz w:val="21"/>
              </w:rPr>
              <w:t>下一阶段不以增加更多页面为主，而以建立智能体内核为主：让系统能够围绕经营目标自主规划分析步骤、调用确定性工具、校验证据、识别信息缺口、生成可执行建议，并将结果闭环到整改任务和后续复盘。</w:t>
            </w:r>
          </w:p>
        </w:tc>
      </w:tr>
    </w:tbl>
    <w:p>
      <w:pPr>
        <w:spacing w:after="0"/>
      </w:pPr>
    </w:p>
    <w:p>
      <w:r>
        <w:br w:type="page"/>
      </w:r>
    </w:p>
    <w:p>
      <w:pPr>
        <w:pStyle w:val="Heading1"/>
      </w:pPr>
      <w:r>
        <w:t>文档修订记录</w:t>
      </w:r>
    </w:p>
    <w:tbl>
      <w:tblPr>
        <w:tblStyle w:val="TableGrid"/>
        <w:tblW w:type="dxa" w:w="9360"/>
        <w:jc w:val="left"/>
        <w:tblLayout w:type="fixed"/>
        <w:tblLook w:firstColumn="1" w:firstRow="1" w:lastColumn="0" w:lastRow="0" w:noHBand="0" w:noVBand="1" w:val="04A0"/>
        <w:tblInd w:w="120" w:type="dxa"/>
      </w:tblPr>
      <w:tblGrid>
        <w:gridCol w:w="1200"/>
        <w:gridCol w:w="1800"/>
        <w:gridCol w:w="1600"/>
        <w:gridCol w:w="4760"/>
      </w:tblGrid>
      <w:tr>
        <w:trPr>
          <w:tblHeader w:val="true"/>
        </w:trPr>
        <w:tc>
          <w:tcPr>
            <w:tcW w:type="dxa" w:w="12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版本</w:t>
            </w:r>
          </w:p>
        </w:tc>
        <w:tc>
          <w:tcPr>
            <w:tcW w:type="dxa" w:w="18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日期</w:t>
            </w:r>
          </w:p>
        </w:tc>
        <w:tc>
          <w:tcPr>
            <w:tcW w:type="dxa" w:w="16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状态</w:t>
            </w:r>
          </w:p>
        </w:tc>
        <w:tc>
          <w:tcPr>
            <w:tcW w:type="dxa" w:w="476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说明</w:t>
            </w:r>
          </w:p>
        </w:tc>
      </w:tr>
      <w:tr>
        <w:tc>
          <w:tcPr>
            <w:tcW w:type="dxa" w:w="1200"/>
            <w:vAlign w:val="center"/>
          </w:tcPr>
          <w:p>
            <w:pPr>
              <w:spacing w:after="0" w:line="252" w:lineRule="auto"/>
              <w:jc w:val="center"/>
            </w:pPr>
            <w:r>
              <w:rPr>
                <w:rFonts w:ascii="Arial" w:hAnsi="Arial" w:eastAsia="Microsoft YaHei"/>
                <w:b w:val="0"/>
                <w:i w:val="0"/>
                <w:color w:val="1A1A1A"/>
                <w:sz w:val="17"/>
              </w:rPr>
              <w:t>V1.0</w:t>
            </w:r>
          </w:p>
        </w:tc>
        <w:tc>
          <w:tcPr>
            <w:tcW w:type="dxa" w:w="1800"/>
            <w:vAlign w:val="center"/>
          </w:tcPr>
          <w:p>
            <w:pPr>
              <w:spacing w:after="0" w:line="252" w:lineRule="auto"/>
              <w:jc w:val="center"/>
            </w:pPr>
            <w:r>
              <w:rPr>
                <w:rFonts w:ascii="Arial" w:hAnsi="Arial" w:eastAsia="Microsoft YaHei"/>
                <w:b w:val="0"/>
                <w:i w:val="0"/>
                <w:color w:val="1A1A1A"/>
                <w:sz w:val="17"/>
              </w:rPr>
              <w:t>2026-06-19</w:t>
            </w:r>
          </w:p>
        </w:tc>
        <w:tc>
          <w:tcPr>
            <w:tcW w:type="dxa" w:w="1600"/>
            <w:vAlign w:val="center"/>
          </w:tcPr>
          <w:p>
            <w:pPr>
              <w:spacing w:after="0" w:line="252" w:lineRule="auto"/>
              <w:jc w:val="center"/>
            </w:pPr>
            <w:r>
              <w:rPr>
                <w:rFonts w:ascii="Arial" w:hAnsi="Arial" w:eastAsia="Microsoft YaHei"/>
                <w:b w:val="0"/>
                <w:i w:val="0"/>
                <w:color w:val="1A1A1A"/>
                <w:sz w:val="17"/>
              </w:rPr>
              <w:t>评审稿</w:t>
            </w:r>
          </w:p>
        </w:tc>
        <w:tc>
          <w:tcPr>
            <w:tcW w:type="dxa" w:w="4760"/>
            <w:vAlign w:val="center"/>
          </w:tcPr>
          <w:p>
            <w:pPr>
              <w:spacing w:after="0" w:line="252" w:lineRule="auto"/>
              <w:jc w:val="left"/>
            </w:pPr>
            <w:r>
              <w:rPr>
                <w:rFonts w:ascii="Arial" w:hAnsi="Arial" w:eastAsia="Microsoft YaHei"/>
                <w:b w:val="0"/>
                <w:i w:val="0"/>
                <w:color w:val="1A1A1A"/>
                <w:sz w:val="17"/>
              </w:rPr>
              <w:t>定义智能体下一阶段范围、需求、验收标准、实施步骤与里程碑</w:t>
            </w:r>
          </w:p>
        </w:tc>
      </w:tr>
    </w:tbl>
    <w:p>
      <w:pPr>
        <w:spacing w:after="0"/>
      </w:pPr>
    </w:p>
    <w:p>
      <w:pPr>
        <w:pStyle w:val="Heading1"/>
      </w:pPr>
      <w:r>
        <w:t>1. 项目背景与阶段判断</w:t>
      </w:r>
    </w:p>
    <w:p>
      <w:r>
        <w:rPr>
          <w:rFonts w:ascii="Arial" w:hAnsi="Arial" w:eastAsia="Microsoft YaHei"/>
          <w:b w:val="0"/>
          <w:i w:val="0"/>
          <w:color w:val="1A1A1A"/>
          <w:sz w:val="21"/>
        </w:rPr>
        <w:t>当前系统已完成经营数据导入、指标计算、规则预警、结构化诊断、AI 解读与追问、证据追溯、整改任务、后续复盘、审计和基础权限框架。但系统目前仍以固定流程和单次模型调用为主，属于“AI 分析助手”，距离成熟经营智能体仍缺少可靠评测、工具自主选择、任务规划、过程纠错、跨周期记忆、主动监测和生产级数据治理。</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shd w:fill="FFF4E5"/>
          </w:tcPr>
          <w:p>
            <w:pPr>
              <w:spacing w:after="0"/>
            </w:pPr>
            <w:r>
              <w:rPr>
                <w:rFonts w:ascii="Arial" w:hAnsi="Arial" w:eastAsia="Microsoft YaHei"/>
                <w:b/>
                <w:i w:val="0"/>
                <w:color w:val="9A6700"/>
                <w:sz w:val="21"/>
              </w:rPr>
              <w:t xml:space="preserve">当前成熟度 </w:t>
            </w:r>
            <w:r>
              <w:rPr>
                <w:rFonts w:ascii="Arial" w:hAnsi="Arial" w:eastAsia="Microsoft YaHei"/>
                <w:b w:val="0"/>
                <w:i w:val="0"/>
                <w:color w:val="9A6700"/>
                <w:sz w:val="21"/>
              </w:rPr>
              <w:t>智能体目标整体完成度约 55%–60%；AI 功能原型约 85%，受控可用诊断助手约 65%，可靠经营智能体约 55%，生产就绪度约 35%–40%。</w:t>
            </w:r>
          </w:p>
        </w:tc>
      </w:tr>
    </w:tbl>
    <w:p>
      <w:pPr>
        <w:spacing w:after="0"/>
      </w:pPr>
    </w:p>
    <w:p>
      <w:pPr>
        <w:pStyle w:val="Heading2"/>
      </w:pPr>
      <w:r>
        <w:t>1.1 已具备能力</w:t>
      </w:r>
    </w:p>
    <w:p>
      <w:pPr>
        <w:spacing w:after="80"/>
        <w:numPr>
          <w:ilvl w:val="0"/>
          <w:numId w:val="41"/>
        </w:numPr>
      </w:pPr>
      <w:r>
        <w:rPr>
          <w:rFonts w:ascii="Arial" w:hAnsi="Arial" w:eastAsia="Microsoft YaHei"/>
          <w:b w:val="0"/>
          <w:i w:val="0"/>
          <w:color w:val="1A1A1A"/>
          <w:sz w:val="21"/>
        </w:rPr>
        <w:t>经营数据、计划数据和指标规则的确定性计算能力。</w:t>
      </w:r>
    </w:p>
    <w:p>
      <w:pPr>
        <w:spacing w:after="80"/>
        <w:numPr>
          <w:ilvl w:val="0"/>
          <w:numId w:val="41"/>
        </w:numPr>
      </w:pPr>
      <w:r>
        <w:rPr>
          <w:rFonts w:ascii="Arial" w:hAnsi="Arial" w:eastAsia="Microsoft YaHei"/>
          <w:b w:val="0"/>
          <w:i w:val="0"/>
          <w:color w:val="1A1A1A"/>
          <w:sz w:val="21"/>
        </w:rPr>
        <w:t>规则诊断与生成式 AI 解耦，AI 故障时基础诊断可继续工作。</w:t>
      </w:r>
    </w:p>
    <w:p>
      <w:pPr>
        <w:spacing w:after="80"/>
        <w:numPr>
          <w:ilvl w:val="0"/>
          <w:numId w:val="41"/>
        </w:numPr>
      </w:pPr>
      <w:r>
        <w:rPr>
          <w:rFonts w:ascii="Arial" w:hAnsi="Arial" w:eastAsia="Microsoft YaHei"/>
          <w:b w:val="0"/>
          <w:i w:val="0"/>
          <w:color w:val="1A1A1A"/>
          <w:sz w:val="21"/>
        </w:rPr>
        <w:t>AI 结构化解读、连续追问、证据 ID 与部分数字一致性校验。</w:t>
      </w:r>
    </w:p>
    <w:p>
      <w:pPr>
        <w:spacing w:after="80"/>
        <w:numPr>
          <w:ilvl w:val="0"/>
          <w:numId w:val="41"/>
        </w:numPr>
      </w:pPr>
      <w:r>
        <w:rPr>
          <w:rFonts w:ascii="Arial" w:hAnsi="Arial" w:eastAsia="Microsoft YaHei"/>
          <w:b w:val="0"/>
          <w:i w:val="0"/>
          <w:color w:val="1A1A1A"/>
          <w:sz w:val="21"/>
        </w:rPr>
        <w:t>整改任务创建、状态流转、后续周期复盘和审计记录。</w:t>
      </w:r>
    </w:p>
    <w:p>
      <w:pPr>
        <w:spacing w:after="80"/>
        <w:numPr>
          <w:ilvl w:val="0"/>
          <w:numId w:val="41"/>
        </w:numPr>
      </w:pPr>
      <w:r>
        <w:rPr>
          <w:rFonts w:ascii="Arial" w:hAnsi="Arial" w:eastAsia="Microsoft YaHei"/>
          <w:b w:val="0"/>
          <w:i w:val="0"/>
          <w:color w:val="1A1A1A"/>
          <w:sz w:val="21"/>
        </w:rPr>
        <w:t>FastAPI 持久化后端、基础角色与机构访问控制框架。</w:t>
      </w:r>
    </w:p>
    <w:p>
      <w:pPr>
        <w:pStyle w:val="Heading2"/>
      </w:pPr>
      <w:r>
        <w:t>1.2 核心差距</w:t>
      </w:r>
    </w:p>
    <w:tbl>
      <w:tblPr>
        <w:tblStyle w:val="TableGrid"/>
        <w:tblW w:type="dxa" w:w="9360"/>
        <w:jc w:val="left"/>
        <w:tblLayout w:type="fixed"/>
        <w:tblLook w:firstColumn="1" w:firstRow="1" w:lastColumn="0" w:lastRow="0" w:noHBand="0" w:noVBand="1" w:val="04A0"/>
        <w:tblInd w:w="120" w:type="dxa"/>
      </w:tblPr>
      <w:tblGrid>
        <w:gridCol w:w="1700"/>
        <w:gridCol w:w="2900"/>
        <w:gridCol w:w="3200"/>
        <w:gridCol w:w="1560"/>
      </w:tblGrid>
      <w:tr>
        <w:trPr>
          <w:tblHeader w:val="true"/>
        </w:trPr>
        <w:tc>
          <w:tcPr>
            <w:tcW w:type="dxa" w:w="17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差距</w:t>
            </w:r>
          </w:p>
        </w:tc>
        <w:tc>
          <w:tcPr>
            <w:tcW w:type="dxa" w:w="29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当前表现</w:t>
            </w:r>
          </w:p>
        </w:tc>
        <w:tc>
          <w:tcPr>
            <w:tcW w:type="dxa" w:w="32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目标状态</w:t>
            </w:r>
          </w:p>
        </w:tc>
        <w:tc>
          <w:tcPr>
            <w:tcW w:type="dxa" w:w="156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优先级</w:t>
            </w:r>
          </w:p>
        </w:tc>
      </w:tr>
      <w:tr>
        <w:tc>
          <w:tcPr>
            <w:tcW w:type="dxa" w:w="1700"/>
            <w:vAlign w:val="center"/>
          </w:tcPr>
          <w:p>
            <w:pPr>
              <w:spacing w:after="0" w:line="252" w:lineRule="auto"/>
              <w:jc w:val="left"/>
            </w:pPr>
            <w:r>
              <w:rPr>
                <w:rFonts w:ascii="Arial" w:hAnsi="Arial" w:eastAsia="Microsoft YaHei"/>
                <w:b w:val="0"/>
                <w:i w:val="0"/>
                <w:color w:val="1A1A1A"/>
                <w:sz w:val="16"/>
              </w:rPr>
              <w:t>评测门禁</w:t>
            </w:r>
          </w:p>
        </w:tc>
        <w:tc>
          <w:tcPr>
            <w:tcW w:type="dxa" w:w="2900"/>
            <w:vAlign w:val="center"/>
          </w:tcPr>
          <w:p>
            <w:pPr>
              <w:spacing w:after="0" w:line="252" w:lineRule="auto"/>
              <w:jc w:val="left"/>
            </w:pPr>
            <w:r>
              <w:rPr>
                <w:rFonts w:ascii="Arial" w:hAnsi="Arial" w:eastAsia="Microsoft YaHei"/>
                <w:b w:val="0"/>
                <w:i w:val="0"/>
                <w:color w:val="1A1A1A"/>
                <w:sz w:val="16"/>
              </w:rPr>
              <w:t>请求成功或返回 JSON 即可能通过</w:t>
            </w:r>
          </w:p>
        </w:tc>
        <w:tc>
          <w:tcPr>
            <w:tcW w:type="dxa" w:w="3200"/>
            <w:vAlign w:val="center"/>
          </w:tcPr>
          <w:p>
            <w:pPr>
              <w:spacing w:after="0" w:line="252" w:lineRule="auto"/>
              <w:jc w:val="left"/>
            </w:pPr>
            <w:r>
              <w:rPr>
                <w:rFonts w:ascii="Arial" w:hAnsi="Arial" w:eastAsia="Microsoft YaHei"/>
                <w:b w:val="0"/>
                <w:i w:val="0"/>
                <w:color w:val="1A1A1A"/>
                <w:sz w:val="16"/>
              </w:rPr>
              <w:t>逐项验证结构、数字、证据、结论与建议</w:t>
            </w:r>
          </w:p>
        </w:tc>
        <w:tc>
          <w:tcPr>
            <w:tcW w:type="dxa" w:w="1560"/>
            <w:vAlign w:val="center"/>
          </w:tcPr>
          <w:p>
            <w:pPr>
              <w:spacing w:after="0" w:line="252" w:lineRule="auto"/>
              <w:jc w:val="left"/>
            </w:pPr>
            <w:r>
              <w:rPr>
                <w:rFonts w:ascii="Arial" w:hAnsi="Arial" w:eastAsia="Microsoft YaHei"/>
                <w:b w:val="0"/>
                <w:i w:val="0"/>
                <w:color w:val="1A1A1A"/>
                <w:sz w:val="16"/>
              </w:rPr>
              <w:t>P0</w:t>
            </w:r>
          </w:p>
        </w:tc>
      </w:tr>
      <w:tr>
        <w:tc>
          <w:tcPr>
            <w:tcW w:type="dxa" w:w="1700"/>
            <w:vAlign w:val="center"/>
          </w:tcPr>
          <w:p>
            <w:pPr>
              <w:spacing w:after="0" w:line="252" w:lineRule="auto"/>
              <w:jc w:val="left"/>
            </w:pPr>
            <w:r>
              <w:rPr>
                <w:rFonts w:ascii="Arial" w:hAnsi="Arial" w:eastAsia="Microsoft YaHei"/>
                <w:b w:val="0"/>
                <w:i w:val="0"/>
                <w:color w:val="1A1A1A"/>
                <w:sz w:val="16"/>
              </w:rPr>
              <w:t>追问可靠性</w:t>
            </w:r>
          </w:p>
        </w:tc>
        <w:tc>
          <w:tcPr>
            <w:tcW w:type="dxa" w:w="2900"/>
            <w:vAlign w:val="center"/>
          </w:tcPr>
          <w:p>
            <w:pPr>
              <w:spacing w:after="0" w:line="252" w:lineRule="auto"/>
              <w:jc w:val="left"/>
            </w:pPr>
            <w:r>
              <w:rPr>
                <w:rFonts w:ascii="Arial" w:hAnsi="Arial" w:eastAsia="Microsoft YaHei"/>
                <w:b w:val="0"/>
                <w:i w:val="0"/>
                <w:color w:val="1A1A1A"/>
                <w:sz w:val="16"/>
              </w:rPr>
              <w:t>自由文本输出未经过完整事实校验</w:t>
            </w:r>
          </w:p>
        </w:tc>
        <w:tc>
          <w:tcPr>
            <w:tcW w:type="dxa" w:w="3200"/>
            <w:vAlign w:val="center"/>
          </w:tcPr>
          <w:p>
            <w:pPr>
              <w:spacing w:after="0" w:line="252" w:lineRule="auto"/>
              <w:jc w:val="left"/>
            </w:pPr>
            <w:r>
              <w:rPr>
                <w:rFonts w:ascii="Arial" w:hAnsi="Arial" w:eastAsia="Microsoft YaHei"/>
                <w:b w:val="0"/>
                <w:i w:val="0"/>
                <w:color w:val="1A1A1A"/>
                <w:sz w:val="16"/>
              </w:rPr>
              <w:t>与诊断报告共用证据和数字校验器</w:t>
            </w:r>
          </w:p>
        </w:tc>
        <w:tc>
          <w:tcPr>
            <w:tcW w:type="dxa" w:w="1560"/>
            <w:vAlign w:val="center"/>
          </w:tcPr>
          <w:p>
            <w:pPr>
              <w:spacing w:after="0" w:line="252" w:lineRule="auto"/>
              <w:jc w:val="left"/>
            </w:pPr>
            <w:r>
              <w:rPr>
                <w:rFonts w:ascii="Arial" w:hAnsi="Arial" w:eastAsia="Microsoft YaHei"/>
                <w:b w:val="0"/>
                <w:i w:val="0"/>
                <w:color w:val="1A1A1A"/>
                <w:sz w:val="16"/>
              </w:rPr>
              <w:t>P0</w:t>
            </w:r>
          </w:p>
        </w:tc>
      </w:tr>
      <w:tr>
        <w:tc>
          <w:tcPr>
            <w:tcW w:type="dxa" w:w="1700"/>
            <w:vAlign w:val="center"/>
          </w:tcPr>
          <w:p>
            <w:pPr>
              <w:spacing w:after="0" w:line="252" w:lineRule="auto"/>
              <w:jc w:val="left"/>
            </w:pPr>
            <w:r>
              <w:rPr>
                <w:rFonts w:ascii="Arial" w:hAnsi="Arial" w:eastAsia="Microsoft YaHei"/>
                <w:b w:val="0"/>
                <w:i w:val="0"/>
                <w:color w:val="1A1A1A"/>
                <w:sz w:val="16"/>
              </w:rPr>
              <w:t>数据安全</w:t>
            </w:r>
          </w:p>
        </w:tc>
        <w:tc>
          <w:tcPr>
            <w:tcW w:type="dxa" w:w="2900"/>
            <w:vAlign w:val="center"/>
          </w:tcPr>
          <w:p>
            <w:pPr>
              <w:spacing w:after="0" w:line="252" w:lineRule="auto"/>
              <w:jc w:val="left"/>
            </w:pPr>
            <w:r>
              <w:rPr>
                <w:rFonts w:ascii="Arial" w:hAnsi="Arial" w:eastAsia="Microsoft YaHei"/>
                <w:b w:val="0"/>
                <w:i w:val="0"/>
                <w:color w:val="1A1A1A"/>
                <w:sz w:val="16"/>
              </w:rPr>
              <w:t>备份隔离和代理信任边界不足</w:t>
            </w:r>
          </w:p>
        </w:tc>
        <w:tc>
          <w:tcPr>
            <w:tcW w:type="dxa" w:w="3200"/>
            <w:vAlign w:val="center"/>
          </w:tcPr>
          <w:p>
            <w:pPr>
              <w:spacing w:after="0" w:line="252" w:lineRule="auto"/>
              <w:jc w:val="left"/>
            </w:pPr>
            <w:r>
              <w:rPr>
                <w:rFonts w:ascii="Arial" w:hAnsi="Arial" w:eastAsia="Microsoft YaHei"/>
                <w:b w:val="0"/>
                <w:i w:val="0"/>
                <w:color w:val="1A1A1A"/>
                <w:sz w:val="16"/>
              </w:rPr>
              <w:t>机构级隔离、可信网关、最小化外发</w:t>
            </w:r>
          </w:p>
        </w:tc>
        <w:tc>
          <w:tcPr>
            <w:tcW w:type="dxa" w:w="1560"/>
            <w:vAlign w:val="center"/>
          </w:tcPr>
          <w:p>
            <w:pPr>
              <w:spacing w:after="0" w:line="252" w:lineRule="auto"/>
              <w:jc w:val="left"/>
            </w:pPr>
            <w:r>
              <w:rPr>
                <w:rFonts w:ascii="Arial" w:hAnsi="Arial" w:eastAsia="Microsoft YaHei"/>
                <w:b w:val="0"/>
                <w:i w:val="0"/>
                <w:color w:val="1A1A1A"/>
                <w:sz w:val="16"/>
              </w:rPr>
              <w:t>P0</w:t>
            </w:r>
          </w:p>
        </w:tc>
      </w:tr>
      <w:tr>
        <w:tc>
          <w:tcPr>
            <w:tcW w:type="dxa" w:w="1700"/>
            <w:vAlign w:val="center"/>
          </w:tcPr>
          <w:p>
            <w:pPr>
              <w:spacing w:after="0" w:line="252" w:lineRule="auto"/>
              <w:jc w:val="left"/>
            </w:pPr>
            <w:r>
              <w:rPr>
                <w:rFonts w:ascii="Arial" w:hAnsi="Arial" w:eastAsia="Microsoft YaHei"/>
                <w:b w:val="0"/>
                <w:i w:val="0"/>
                <w:color w:val="1A1A1A"/>
                <w:sz w:val="16"/>
              </w:rPr>
              <w:t>智能体内核</w:t>
            </w:r>
          </w:p>
        </w:tc>
        <w:tc>
          <w:tcPr>
            <w:tcW w:type="dxa" w:w="2900"/>
            <w:vAlign w:val="center"/>
          </w:tcPr>
          <w:p>
            <w:pPr>
              <w:spacing w:after="0" w:line="252" w:lineRule="auto"/>
              <w:jc w:val="left"/>
            </w:pPr>
            <w:r>
              <w:rPr>
                <w:rFonts w:ascii="Arial" w:hAnsi="Arial" w:eastAsia="Microsoft YaHei"/>
                <w:b w:val="0"/>
                <w:i w:val="0"/>
                <w:color w:val="1A1A1A"/>
                <w:sz w:val="16"/>
              </w:rPr>
              <w:t>固定单轮调用，无显式计划</w:t>
            </w:r>
          </w:p>
        </w:tc>
        <w:tc>
          <w:tcPr>
            <w:tcW w:type="dxa" w:w="3200"/>
            <w:vAlign w:val="center"/>
          </w:tcPr>
          <w:p>
            <w:pPr>
              <w:spacing w:after="0" w:line="252" w:lineRule="auto"/>
              <w:jc w:val="left"/>
            </w:pPr>
            <w:r>
              <w:rPr>
                <w:rFonts w:ascii="Arial" w:hAnsi="Arial" w:eastAsia="Microsoft YaHei"/>
                <w:b w:val="0"/>
                <w:i w:val="0"/>
                <w:color w:val="1A1A1A"/>
                <w:sz w:val="16"/>
              </w:rPr>
              <w:t>目标分解、工具选择、执行、校验、纠错</w:t>
            </w:r>
          </w:p>
        </w:tc>
        <w:tc>
          <w:tcPr>
            <w:tcW w:type="dxa" w:w="1560"/>
            <w:vAlign w:val="center"/>
          </w:tcPr>
          <w:p>
            <w:pPr>
              <w:spacing w:after="0" w:line="252" w:lineRule="auto"/>
              <w:jc w:val="left"/>
            </w:pPr>
            <w:r>
              <w:rPr>
                <w:rFonts w:ascii="Arial" w:hAnsi="Arial" w:eastAsia="Microsoft YaHei"/>
                <w:b w:val="0"/>
                <w:i w:val="0"/>
                <w:color w:val="1A1A1A"/>
                <w:sz w:val="16"/>
              </w:rPr>
              <w:t>P1</w:t>
            </w:r>
          </w:p>
        </w:tc>
      </w:tr>
      <w:tr>
        <w:tc>
          <w:tcPr>
            <w:tcW w:type="dxa" w:w="1700"/>
            <w:vAlign w:val="center"/>
          </w:tcPr>
          <w:p>
            <w:pPr>
              <w:spacing w:after="0" w:line="252" w:lineRule="auto"/>
              <w:jc w:val="left"/>
            </w:pPr>
            <w:r>
              <w:rPr>
                <w:rFonts w:ascii="Arial" w:hAnsi="Arial" w:eastAsia="Microsoft YaHei"/>
                <w:b w:val="0"/>
                <w:i w:val="0"/>
                <w:color w:val="1A1A1A"/>
                <w:sz w:val="16"/>
              </w:rPr>
              <w:t>长期记忆</w:t>
            </w:r>
          </w:p>
        </w:tc>
        <w:tc>
          <w:tcPr>
            <w:tcW w:type="dxa" w:w="2900"/>
            <w:vAlign w:val="center"/>
          </w:tcPr>
          <w:p>
            <w:pPr>
              <w:spacing w:after="0" w:line="252" w:lineRule="auto"/>
              <w:jc w:val="left"/>
            </w:pPr>
            <w:r>
              <w:rPr>
                <w:rFonts w:ascii="Arial" w:hAnsi="Arial" w:eastAsia="Microsoft YaHei"/>
                <w:b w:val="0"/>
                <w:i w:val="0"/>
                <w:color w:val="1A1A1A"/>
                <w:sz w:val="16"/>
              </w:rPr>
              <w:t>主要依赖单次诊断快照</w:t>
            </w:r>
          </w:p>
        </w:tc>
        <w:tc>
          <w:tcPr>
            <w:tcW w:type="dxa" w:w="3200"/>
            <w:vAlign w:val="center"/>
          </w:tcPr>
          <w:p>
            <w:pPr>
              <w:spacing w:after="0" w:line="252" w:lineRule="auto"/>
              <w:jc w:val="left"/>
            </w:pPr>
            <w:r>
              <w:rPr>
                <w:rFonts w:ascii="Arial" w:hAnsi="Arial" w:eastAsia="Microsoft YaHei"/>
                <w:b w:val="0"/>
                <w:i w:val="0"/>
                <w:color w:val="1A1A1A"/>
                <w:sz w:val="16"/>
              </w:rPr>
              <w:t>机构、周期、任务和反馈的受控记忆</w:t>
            </w:r>
          </w:p>
        </w:tc>
        <w:tc>
          <w:tcPr>
            <w:tcW w:type="dxa" w:w="1560"/>
            <w:vAlign w:val="center"/>
          </w:tcPr>
          <w:p>
            <w:pPr>
              <w:spacing w:after="0" w:line="252" w:lineRule="auto"/>
              <w:jc w:val="left"/>
            </w:pPr>
            <w:r>
              <w:rPr>
                <w:rFonts w:ascii="Arial" w:hAnsi="Arial" w:eastAsia="Microsoft YaHei"/>
                <w:b w:val="0"/>
                <w:i w:val="0"/>
                <w:color w:val="1A1A1A"/>
                <w:sz w:val="16"/>
              </w:rPr>
              <w:t>P1</w:t>
            </w:r>
          </w:p>
        </w:tc>
      </w:tr>
      <w:tr>
        <w:tc>
          <w:tcPr>
            <w:tcW w:type="dxa" w:w="1700"/>
            <w:vAlign w:val="center"/>
          </w:tcPr>
          <w:p>
            <w:pPr>
              <w:spacing w:after="0" w:line="252" w:lineRule="auto"/>
              <w:jc w:val="left"/>
            </w:pPr>
            <w:r>
              <w:rPr>
                <w:rFonts w:ascii="Arial" w:hAnsi="Arial" w:eastAsia="Microsoft YaHei"/>
                <w:b w:val="0"/>
                <w:i w:val="0"/>
                <w:color w:val="1A1A1A"/>
                <w:sz w:val="16"/>
              </w:rPr>
              <w:t>主动性</w:t>
            </w:r>
          </w:p>
        </w:tc>
        <w:tc>
          <w:tcPr>
            <w:tcW w:type="dxa" w:w="2900"/>
            <w:vAlign w:val="center"/>
          </w:tcPr>
          <w:p>
            <w:pPr>
              <w:spacing w:after="0" w:line="252" w:lineRule="auto"/>
              <w:jc w:val="left"/>
            </w:pPr>
            <w:r>
              <w:rPr>
                <w:rFonts w:ascii="Arial" w:hAnsi="Arial" w:eastAsia="Microsoft YaHei"/>
                <w:b w:val="0"/>
                <w:i w:val="0"/>
                <w:color w:val="1A1A1A"/>
                <w:sz w:val="16"/>
              </w:rPr>
              <w:t>用户手动触发</w:t>
            </w:r>
          </w:p>
        </w:tc>
        <w:tc>
          <w:tcPr>
            <w:tcW w:type="dxa" w:w="3200"/>
            <w:vAlign w:val="center"/>
          </w:tcPr>
          <w:p>
            <w:pPr>
              <w:spacing w:after="0" w:line="252" w:lineRule="auto"/>
              <w:jc w:val="left"/>
            </w:pPr>
            <w:r>
              <w:rPr>
                <w:rFonts w:ascii="Arial" w:hAnsi="Arial" w:eastAsia="Microsoft YaHei"/>
                <w:b w:val="0"/>
                <w:i w:val="0"/>
                <w:color w:val="1A1A1A"/>
                <w:sz w:val="16"/>
              </w:rPr>
              <w:t>新数据到达后自动检测并发起建议</w:t>
            </w:r>
          </w:p>
        </w:tc>
        <w:tc>
          <w:tcPr>
            <w:tcW w:type="dxa" w:w="1560"/>
            <w:vAlign w:val="center"/>
          </w:tcPr>
          <w:p>
            <w:pPr>
              <w:spacing w:after="0" w:line="252" w:lineRule="auto"/>
              <w:jc w:val="left"/>
            </w:pPr>
            <w:r>
              <w:rPr>
                <w:rFonts w:ascii="Arial" w:hAnsi="Arial" w:eastAsia="Microsoft YaHei"/>
                <w:b w:val="0"/>
                <w:i w:val="0"/>
                <w:color w:val="1A1A1A"/>
                <w:sz w:val="16"/>
              </w:rPr>
              <w:t>P2</w:t>
            </w:r>
          </w:p>
        </w:tc>
      </w:tr>
    </w:tbl>
    <w:p>
      <w:pPr>
        <w:spacing w:after="0"/>
      </w:pPr>
    </w:p>
    <w:p>
      <w:pPr>
        <w:pStyle w:val="Heading1"/>
      </w:pPr>
      <w:r>
        <w:t>2. 下一阶段目标与边界</w:t>
      </w:r>
    </w:p>
    <w:p>
      <w:pPr>
        <w:pStyle w:val="Heading2"/>
      </w:pPr>
      <w:r>
        <w:t>2.1 阶段目标</w:t>
      </w:r>
    </w:p>
    <w:p>
      <w:pPr>
        <w:spacing w:after="80"/>
        <w:numPr>
          <w:ilvl w:val="0"/>
          <w:numId w:val="41"/>
        </w:numPr>
      </w:pPr>
      <w:r>
        <w:rPr>
          <w:rFonts w:ascii="Arial" w:hAnsi="Arial" w:eastAsia="Microsoft YaHei"/>
          <w:b w:val="0"/>
          <w:i w:val="0"/>
          <w:color w:val="1A1A1A"/>
          <w:sz w:val="21"/>
        </w:rPr>
        <w:t>形成可审计的智能体执行链路：目标 → 计划 → 工具调用 → 结果校验 → 输出 → 闭环。</w:t>
      </w:r>
    </w:p>
    <w:p>
      <w:pPr>
        <w:spacing w:after="80"/>
        <w:numPr>
          <w:ilvl w:val="0"/>
          <w:numId w:val="41"/>
        </w:numPr>
      </w:pPr>
      <w:r>
        <w:rPr>
          <w:rFonts w:ascii="Arial" w:hAnsi="Arial" w:eastAsia="Microsoft YaHei"/>
          <w:b w:val="0"/>
          <w:i w:val="0"/>
          <w:color w:val="1A1A1A"/>
          <w:sz w:val="21"/>
        </w:rPr>
        <w:t>AI 输出必须受经营数据、指标元数据和证据快照约束，不允许凭空生成经营数字。</w:t>
      </w:r>
    </w:p>
    <w:p>
      <w:pPr>
        <w:spacing w:after="80"/>
        <w:numPr>
          <w:ilvl w:val="0"/>
          <w:numId w:val="41"/>
        </w:numPr>
      </w:pPr>
      <w:r>
        <w:rPr>
          <w:rFonts w:ascii="Arial" w:hAnsi="Arial" w:eastAsia="Microsoft YaHei"/>
          <w:b w:val="0"/>
          <w:i w:val="0"/>
          <w:color w:val="1A1A1A"/>
          <w:sz w:val="21"/>
        </w:rPr>
        <w:t>将 AI 评测由“形式检查”升级为真实质量门禁，支持版本对比和发布阻断。</w:t>
      </w:r>
    </w:p>
    <w:p>
      <w:pPr>
        <w:spacing w:after="80"/>
        <w:numPr>
          <w:ilvl w:val="0"/>
          <w:numId w:val="41"/>
        </w:numPr>
      </w:pPr>
      <w:r>
        <w:rPr>
          <w:rFonts w:ascii="Arial" w:hAnsi="Arial" w:eastAsia="Microsoft YaHei"/>
          <w:b w:val="0"/>
          <w:i w:val="0"/>
          <w:color w:val="1A1A1A"/>
          <w:sz w:val="21"/>
        </w:rPr>
        <w:t>实现诊断、追问、建议、整改和复盘之间的统一上下文。</w:t>
      </w:r>
    </w:p>
    <w:p>
      <w:pPr>
        <w:spacing w:after="80"/>
        <w:numPr>
          <w:ilvl w:val="0"/>
          <w:numId w:val="41"/>
        </w:numPr>
      </w:pPr>
      <w:r>
        <w:rPr>
          <w:rFonts w:ascii="Arial" w:hAnsi="Arial" w:eastAsia="Microsoft YaHei"/>
          <w:b w:val="0"/>
          <w:i w:val="0"/>
          <w:color w:val="1A1A1A"/>
          <w:sz w:val="21"/>
        </w:rPr>
        <w:t>完成小范围内部受控试点，并积累可用于迭代的真实业务反馈。</w:t>
      </w:r>
    </w:p>
    <w:p>
      <w:pPr>
        <w:pStyle w:val="Heading2"/>
      </w:pPr>
      <w:r>
        <w:t>2.2 非目标</w:t>
      </w:r>
    </w:p>
    <w:p>
      <w:pPr>
        <w:spacing w:after="80"/>
        <w:numPr>
          <w:ilvl w:val="0"/>
          <w:numId w:val="41"/>
        </w:numPr>
      </w:pPr>
      <w:r>
        <w:rPr>
          <w:rFonts w:ascii="Arial" w:hAnsi="Arial" w:eastAsia="Microsoft YaHei"/>
          <w:b w:val="0"/>
          <w:i w:val="0"/>
          <w:color w:val="1A1A1A"/>
          <w:sz w:val="21"/>
        </w:rPr>
        <w:t>本阶段不允许智能体自动修改源经营数据、计划数据或指标口径。</w:t>
      </w:r>
    </w:p>
    <w:p>
      <w:pPr>
        <w:spacing w:after="80"/>
        <w:numPr>
          <w:ilvl w:val="0"/>
          <w:numId w:val="41"/>
        </w:numPr>
      </w:pPr>
      <w:r>
        <w:rPr>
          <w:rFonts w:ascii="Arial" w:hAnsi="Arial" w:eastAsia="Microsoft YaHei"/>
          <w:b w:val="0"/>
          <w:i w:val="0"/>
          <w:color w:val="1A1A1A"/>
          <w:sz w:val="21"/>
        </w:rPr>
        <w:t>本阶段不允许智能体绕过人工确认直接关闭整改任务或发布正式经营结论。</w:t>
      </w:r>
    </w:p>
    <w:p>
      <w:pPr>
        <w:spacing w:after="80"/>
        <w:numPr>
          <w:ilvl w:val="0"/>
          <w:numId w:val="41"/>
        </w:numPr>
      </w:pPr>
      <w:r>
        <w:rPr>
          <w:rFonts w:ascii="Arial" w:hAnsi="Arial" w:eastAsia="Microsoft YaHei"/>
          <w:b w:val="0"/>
          <w:i w:val="0"/>
          <w:color w:val="1A1A1A"/>
          <w:sz w:val="21"/>
        </w:rPr>
        <w:t>本阶段不建设通用聊天机器人，不回答与经营诊断无关的开放领域问题。</w:t>
      </w:r>
    </w:p>
    <w:p>
      <w:pPr>
        <w:spacing w:after="80"/>
        <w:numPr>
          <w:ilvl w:val="0"/>
          <w:numId w:val="41"/>
        </w:numPr>
      </w:pPr>
      <w:r>
        <w:rPr>
          <w:rFonts w:ascii="Arial" w:hAnsi="Arial" w:eastAsia="Microsoft YaHei"/>
          <w:b w:val="0"/>
          <w:i w:val="0"/>
          <w:color w:val="1A1A1A"/>
          <w:sz w:val="21"/>
        </w:rPr>
        <w:t>本阶段不以替代经营管理人员为目标，AI 结论定位为决策辅助。</w:t>
      </w:r>
    </w:p>
    <w:p>
      <w:pPr>
        <w:pStyle w:val="Heading2"/>
      </w:pPr>
      <w:r>
        <w:t>2.3 成功标准</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tblHeader w:val="true"/>
        </w:trPr>
        <w:tc>
          <w:tcPr>
            <w:tcW w:type="dxa" w:w="18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维度</w:t>
            </w:r>
          </w:p>
        </w:tc>
        <w:tc>
          <w:tcPr>
            <w:tcW w:type="dxa" w:w="43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目标指标</w:t>
            </w:r>
          </w:p>
        </w:tc>
        <w:tc>
          <w:tcPr>
            <w:tcW w:type="dxa" w:w="326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发布门槛</w:t>
            </w:r>
          </w:p>
        </w:tc>
      </w:tr>
      <w:tr>
        <w:tc>
          <w:tcPr>
            <w:tcW w:type="dxa" w:w="1800"/>
            <w:vAlign w:val="center"/>
          </w:tcPr>
          <w:p>
            <w:pPr>
              <w:spacing w:after="0" w:line="252" w:lineRule="auto"/>
              <w:jc w:val="left"/>
            </w:pPr>
            <w:r>
              <w:rPr>
                <w:rFonts w:ascii="Arial" w:hAnsi="Arial" w:eastAsia="Microsoft YaHei"/>
                <w:b w:val="0"/>
                <w:i w:val="0"/>
                <w:color w:val="1A1A1A"/>
                <w:sz w:val="17"/>
              </w:rPr>
              <w:t>数字可靠性</w:t>
            </w:r>
          </w:p>
        </w:tc>
        <w:tc>
          <w:tcPr>
            <w:tcW w:type="dxa" w:w="4300"/>
            <w:vAlign w:val="center"/>
          </w:tcPr>
          <w:p>
            <w:pPr>
              <w:spacing w:after="0" w:line="252" w:lineRule="auto"/>
              <w:jc w:val="left"/>
            </w:pPr>
            <w:r>
              <w:rPr>
                <w:rFonts w:ascii="Arial" w:hAnsi="Arial" w:eastAsia="Microsoft YaHei"/>
                <w:b w:val="0"/>
                <w:i w:val="0"/>
                <w:color w:val="1A1A1A"/>
                <w:sz w:val="17"/>
              </w:rPr>
              <w:t>AI 引用数字与证据一致</w:t>
            </w:r>
          </w:p>
        </w:tc>
        <w:tc>
          <w:tcPr>
            <w:tcW w:type="dxa" w:w="3260"/>
            <w:vAlign w:val="center"/>
          </w:tcPr>
          <w:p>
            <w:pPr>
              <w:spacing w:after="0" w:line="252" w:lineRule="auto"/>
              <w:jc w:val="left"/>
            </w:pPr>
            <w:r>
              <w:rPr>
                <w:rFonts w:ascii="Arial" w:hAnsi="Arial" w:eastAsia="Microsoft YaHei"/>
                <w:b w:val="0"/>
                <w:i w:val="0"/>
                <w:color w:val="1A1A1A"/>
                <w:sz w:val="17"/>
              </w:rPr>
              <w:t>准确率 ≥ 99%</w:t>
            </w:r>
          </w:p>
        </w:tc>
      </w:tr>
      <w:tr>
        <w:tc>
          <w:tcPr>
            <w:tcW w:type="dxa" w:w="1800"/>
            <w:vAlign w:val="center"/>
          </w:tcPr>
          <w:p>
            <w:pPr>
              <w:spacing w:after="0" w:line="252" w:lineRule="auto"/>
              <w:jc w:val="left"/>
            </w:pPr>
            <w:r>
              <w:rPr>
                <w:rFonts w:ascii="Arial" w:hAnsi="Arial" w:eastAsia="Microsoft YaHei"/>
                <w:b w:val="0"/>
                <w:i w:val="0"/>
                <w:color w:val="1A1A1A"/>
                <w:sz w:val="17"/>
              </w:rPr>
              <w:t>证据可靠性</w:t>
            </w:r>
          </w:p>
        </w:tc>
        <w:tc>
          <w:tcPr>
            <w:tcW w:type="dxa" w:w="4300"/>
            <w:vAlign w:val="center"/>
          </w:tcPr>
          <w:p>
            <w:pPr>
              <w:spacing w:after="0" w:line="252" w:lineRule="auto"/>
              <w:jc w:val="left"/>
            </w:pPr>
            <w:r>
              <w:rPr>
                <w:rFonts w:ascii="Arial" w:hAnsi="Arial" w:eastAsia="Microsoft YaHei"/>
                <w:b w:val="0"/>
                <w:i w:val="0"/>
                <w:color w:val="1A1A1A"/>
                <w:sz w:val="17"/>
              </w:rPr>
              <w:t>事实、结论、建议均可追溯</w:t>
            </w:r>
          </w:p>
        </w:tc>
        <w:tc>
          <w:tcPr>
            <w:tcW w:type="dxa" w:w="3260"/>
            <w:vAlign w:val="center"/>
          </w:tcPr>
          <w:p>
            <w:pPr>
              <w:spacing w:after="0" w:line="252" w:lineRule="auto"/>
              <w:jc w:val="left"/>
            </w:pPr>
            <w:r>
              <w:rPr>
                <w:rFonts w:ascii="Arial" w:hAnsi="Arial" w:eastAsia="Microsoft YaHei"/>
                <w:b w:val="0"/>
                <w:i w:val="0"/>
                <w:color w:val="1A1A1A"/>
                <w:sz w:val="17"/>
              </w:rPr>
              <w:t>有效证据引用率 100%</w:t>
            </w:r>
          </w:p>
        </w:tc>
      </w:tr>
      <w:tr>
        <w:tc>
          <w:tcPr>
            <w:tcW w:type="dxa" w:w="1800"/>
            <w:vAlign w:val="center"/>
          </w:tcPr>
          <w:p>
            <w:pPr>
              <w:spacing w:after="0" w:line="252" w:lineRule="auto"/>
              <w:jc w:val="left"/>
            </w:pPr>
            <w:r>
              <w:rPr>
                <w:rFonts w:ascii="Arial" w:hAnsi="Arial" w:eastAsia="Microsoft YaHei"/>
                <w:b w:val="0"/>
                <w:i w:val="0"/>
                <w:color w:val="1A1A1A"/>
                <w:sz w:val="17"/>
              </w:rPr>
              <w:t>幻觉控制</w:t>
            </w:r>
          </w:p>
        </w:tc>
        <w:tc>
          <w:tcPr>
            <w:tcW w:type="dxa" w:w="4300"/>
            <w:vAlign w:val="center"/>
          </w:tcPr>
          <w:p>
            <w:pPr>
              <w:spacing w:after="0" w:line="252" w:lineRule="auto"/>
              <w:jc w:val="left"/>
            </w:pPr>
            <w:r>
              <w:rPr>
                <w:rFonts w:ascii="Arial" w:hAnsi="Arial" w:eastAsia="Microsoft YaHei"/>
                <w:b w:val="0"/>
                <w:i w:val="0"/>
                <w:color w:val="1A1A1A"/>
                <w:sz w:val="17"/>
              </w:rPr>
              <w:t>无依据结论占比</w:t>
            </w:r>
          </w:p>
        </w:tc>
        <w:tc>
          <w:tcPr>
            <w:tcW w:type="dxa" w:w="3260"/>
            <w:vAlign w:val="center"/>
          </w:tcPr>
          <w:p>
            <w:pPr>
              <w:spacing w:after="0" w:line="252" w:lineRule="auto"/>
              <w:jc w:val="left"/>
            </w:pPr>
            <w:r>
              <w:rPr>
                <w:rFonts w:ascii="Arial" w:hAnsi="Arial" w:eastAsia="Microsoft YaHei"/>
                <w:b w:val="0"/>
                <w:i w:val="0"/>
                <w:color w:val="1A1A1A"/>
                <w:sz w:val="17"/>
              </w:rPr>
              <w:t>≤ 2%，严重错误为 0</w:t>
            </w:r>
          </w:p>
        </w:tc>
      </w:tr>
      <w:tr>
        <w:tc>
          <w:tcPr>
            <w:tcW w:type="dxa" w:w="1800"/>
            <w:vAlign w:val="center"/>
          </w:tcPr>
          <w:p>
            <w:pPr>
              <w:spacing w:after="0" w:line="252" w:lineRule="auto"/>
              <w:jc w:val="left"/>
            </w:pPr>
            <w:r>
              <w:rPr>
                <w:rFonts w:ascii="Arial" w:hAnsi="Arial" w:eastAsia="Microsoft YaHei"/>
                <w:b w:val="0"/>
                <w:i w:val="0"/>
                <w:color w:val="1A1A1A"/>
                <w:sz w:val="17"/>
              </w:rPr>
              <w:t>降级能力</w:t>
            </w:r>
          </w:p>
        </w:tc>
        <w:tc>
          <w:tcPr>
            <w:tcW w:type="dxa" w:w="4300"/>
            <w:vAlign w:val="center"/>
          </w:tcPr>
          <w:p>
            <w:pPr>
              <w:spacing w:after="0" w:line="252" w:lineRule="auto"/>
              <w:jc w:val="left"/>
            </w:pPr>
            <w:r>
              <w:rPr>
                <w:rFonts w:ascii="Arial" w:hAnsi="Arial" w:eastAsia="Microsoft YaHei"/>
                <w:b w:val="0"/>
                <w:i w:val="0"/>
                <w:color w:val="1A1A1A"/>
                <w:sz w:val="17"/>
              </w:rPr>
              <w:t>模型异常时规则诊断可用</w:t>
            </w:r>
          </w:p>
        </w:tc>
        <w:tc>
          <w:tcPr>
            <w:tcW w:type="dxa" w:w="3260"/>
            <w:vAlign w:val="center"/>
          </w:tcPr>
          <w:p>
            <w:pPr>
              <w:spacing w:after="0" w:line="252" w:lineRule="auto"/>
              <w:jc w:val="left"/>
            </w:pPr>
            <w:r>
              <w:rPr>
                <w:rFonts w:ascii="Arial" w:hAnsi="Arial" w:eastAsia="Microsoft YaHei"/>
                <w:b w:val="0"/>
                <w:i w:val="0"/>
                <w:color w:val="1A1A1A"/>
                <w:sz w:val="17"/>
              </w:rPr>
              <w:t>降级成功率 100%</w:t>
            </w:r>
          </w:p>
        </w:tc>
      </w:tr>
      <w:tr>
        <w:tc>
          <w:tcPr>
            <w:tcW w:type="dxa" w:w="1800"/>
            <w:vAlign w:val="center"/>
          </w:tcPr>
          <w:p>
            <w:pPr>
              <w:spacing w:after="0" w:line="252" w:lineRule="auto"/>
              <w:jc w:val="left"/>
            </w:pPr>
            <w:r>
              <w:rPr>
                <w:rFonts w:ascii="Arial" w:hAnsi="Arial" w:eastAsia="Microsoft YaHei"/>
                <w:b w:val="0"/>
                <w:i w:val="0"/>
                <w:color w:val="1A1A1A"/>
                <w:sz w:val="17"/>
              </w:rPr>
              <w:t>任务质量</w:t>
            </w:r>
          </w:p>
        </w:tc>
        <w:tc>
          <w:tcPr>
            <w:tcW w:type="dxa" w:w="4300"/>
            <w:vAlign w:val="center"/>
          </w:tcPr>
          <w:p>
            <w:pPr>
              <w:spacing w:after="0" w:line="252" w:lineRule="auto"/>
              <w:jc w:val="left"/>
            </w:pPr>
            <w:r>
              <w:rPr>
                <w:rFonts w:ascii="Arial" w:hAnsi="Arial" w:eastAsia="Microsoft YaHei"/>
                <w:b w:val="0"/>
                <w:i w:val="0"/>
                <w:color w:val="1A1A1A"/>
                <w:sz w:val="17"/>
              </w:rPr>
              <w:t>建议可转换为整改任务</w:t>
            </w:r>
          </w:p>
        </w:tc>
        <w:tc>
          <w:tcPr>
            <w:tcW w:type="dxa" w:w="3260"/>
            <w:vAlign w:val="center"/>
          </w:tcPr>
          <w:p>
            <w:pPr>
              <w:spacing w:after="0" w:line="252" w:lineRule="auto"/>
              <w:jc w:val="left"/>
            </w:pPr>
            <w:r>
              <w:rPr>
                <w:rFonts w:ascii="Arial" w:hAnsi="Arial" w:eastAsia="Microsoft YaHei"/>
                <w:b w:val="0"/>
                <w:i w:val="0"/>
                <w:color w:val="1A1A1A"/>
                <w:sz w:val="17"/>
              </w:rPr>
              <w:t>关键字段完整率 ≥ 95%</w:t>
            </w:r>
          </w:p>
        </w:tc>
      </w:tr>
      <w:tr>
        <w:tc>
          <w:tcPr>
            <w:tcW w:type="dxa" w:w="1800"/>
            <w:vAlign w:val="center"/>
          </w:tcPr>
          <w:p>
            <w:pPr>
              <w:spacing w:after="0" w:line="252" w:lineRule="auto"/>
              <w:jc w:val="left"/>
            </w:pPr>
            <w:r>
              <w:rPr>
                <w:rFonts w:ascii="Arial" w:hAnsi="Arial" w:eastAsia="Microsoft YaHei"/>
                <w:b w:val="0"/>
                <w:i w:val="0"/>
                <w:color w:val="1A1A1A"/>
                <w:sz w:val="17"/>
              </w:rPr>
              <w:t>用户价值</w:t>
            </w:r>
          </w:p>
        </w:tc>
        <w:tc>
          <w:tcPr>
            <w:tcW w:type="dxa" w:w="4300"/>
            <w:vAlign w:val="center"/>
          </w:tcPr>
          <w:p>
            <w:pPr>
              <w:spacing w:after="0" w:line="252" w:lineRule="auto"/>
              <w:jc w:val="left"/>
            </w:pPr>
            <w:r>
              <w:rPr>
                <w:rFonts w:ascii="Arial" w:hAnsi="Arial" w:eastAsia="Microsoft YaHei"/>
                <w:b w:val="0"/>
                <w:i w:val="0"/>
                <w:color w:val="1A1A1A"/>
                <w:sz w:val="17"/>
              </w:rPr>
              <w:t>试点用户认为结果有帮助</w:t>
            </w:r>
          </w:p>
        </w:tc>
        <w:tc>
          <w:tcPr>
            <w:tcW w:type="dxa" w:w="3260"/>
            <w:vAlign w:val="center"/>
          </w:tcPr>
          <w:p>
            <w:pPr>
              <w:spacing w:after="0" w:line="252" w:lineRule="auto"/>
              <w:jc w:val="left"/>
            </w:pPr>
            <w:r>
              <w:rPr>
                <w:rFonts w:ascii="Arial" w:hAnsi="Arial" w:eastAsia="Microsoft YaHei"/>
                <w:b w:val="0"/>
                <w:i w:val="0"/>
                <w:color w:val="1A1A1A"/>
                <w:sz w:val="17"/>
              </w:rPr>
              <w:t>有帮助率 ≥ 80%</w:t>
            </w:r>
          </w:p>
        </w:tc>
      </w:tr>
    </w:tbl>
    <w:p>
      <w:pPr>
        <w:spacing w:after="0"/>
      </w:pPr>
    </w:p>
    <w:p>
      <w:pPr>
        <w:pStyle w:val="Heading1"/>
      </w:pPr>
      <w:r>
        <w:t>3. 目标用户与核心场景</w:t>
      </w:r>
    </w:p>
    <w:tbl>
      <w:tblPr>
        <w:tblStyle w:val="TableGrid"/>
        <w:tblW w:type="dxa" w:w="9360"/>
        <w:jc w:val="left"/>
        <w:tblLayout w:type="fixed"/>
        <w:tblLook w:firstColumn="1" w:firstRow="1" w:lastColumn="0" w:lastRow="0" w:noHBand="0" w:noVBand="1" w:val="04A0"/>
        <w:tblInd w:w="120" w:type="dxa"/>
      </w:tblPr>
      <w:tblGrid>
        <w:gridCol w:w="1900"/>
        <w:gridCol w:w="4200"/>
        <w:gridCol w:w="3260"/>
      </w:tblGrid>
      <w:tr>
        <w:trPr>
          <w:tblHeader w:val="true"/>
        </w:trPr>
        <w:tc>
          <w:tcPr>
            <w:tcW w:type="dxa" w:w="19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角色</w:t>
            </w:r>
          </w:p>
        </w:tc>
        <w:tc>
          <w:tcPr>
            <w:tcW w:type="dxa" w:w="42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主要诉求</w:t>
            </w:r>
          </w:p>
        </w:tc>
        <w:tc>
          <w:tcPr>
            <w:tcW w:type="dxa" w:w="326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权限边界</w:t>
            </w:r>
          </w:p>
        </w:tc>
      </w:tr>
      <w:tr>
        <w:tc>
          <w:tcPr>
            <w:tcW w:type="dxa" w:w="1900"/>
            <w:vAlign w:val="center"/>
          </w:tcPr>
          <w:p>
            <w:pPr>
              <w:spacing w:after="0" w:line="252" w:lineRule="auto"/>
              <w:jc w:val="left"/>
            </w:pPr>
            <w:r>
              <w:rPr>
                <w:rFonts w:ascii="Arial" w:hAnsi="Arial" w:eastAsia="Microsoft YaHei"/>
                <w:b w:val="0"/>
                <w:i w:val="0"/>
                <w:color w:val="1A1A1A"/>
                <w:sz w:val="17"/>
              </w:rPr>
              <w:t>总部经营管理</w:t>
            </w:r>
          </w:p>
        </w:tc>
        <w:tc>
          <w:tcPr>
            <w:tcW w:type="dxa" w:w="4200"/>
            <w:vAlign w:val="center"/>
          </w:tcPr>
          <w:p>
            <w:pPr>
              <w:spacing w:after="0" w:line="252" w:lineRule="auto"/>
              <w:jc w:val="left"/>
            </w:pPr>
            <w:r>
              <w:rPr>
                <w:rFonts w:ascii="Arial" w:hAnsi="Arial" w:eastAsia="Microsoft YaHei"/>
                <w:b w:val="0"/>
                <w:i w:val="0"/>
                <w:color w:val="1A1A1A"/>
                <w:sz w:val="17"/>
              </w:rPr>
              <w:t>跨机构识别风险、比较差异、下发整改</w:t>
            </w:r>
          </w:p>
        </w:tc>
        <w:tc>
          <w:tcPr>
            <w:tcW w:type="dxa" w:w="3260"/>
            <w:vAlign w:val="center"/>
          </w:tcPr>
          <w:p>
            <w:pPr>
              <w:spacing w:after="0" w:line="252" w:lineRule="auto"/>
              <w:jc w:val="left"/>
            </w:pPr>
            <w:r>
              <w:rPr>
                <w:rFonts w:ascii="Arial" w:hAnsi="Arial" w:eastAsia="Microsoft YaHei"/>
                <w:b w:val="0"/>
                <w:i w:val="0"/>
                <w:color w:val="1A1A1A"/>
                <w:sz w:val="17"/>
              </w:rPr>
              <w:t>可查看授权范围汇总与机构数据</w:t>
            </w:r>
          </w:p>
        </w:tc>
      </w:tr>
      <w:tr>
        <w:tc>
          <w:tcPr>
            <w:tcW w:type="dxa" w:w="1900"/>
            <w:vAlign w:val="center"/>
          </w:tcPr>
          <w:p>
            <w:pPr>
              <w:spacing w:after="0" w:line="252" w:lineRule="auto"/>
              <w:jc w:val="left"/>
            </w:pPr>
            <w:r>
              <w:rPr>
                <w:rFonts w:ascii="Arial" w:hAnsi="Arial" w:eastAsia="Microsoft YaHei"/>
                <w:b w:val="0"/>
                <w:i w:val="0"/>
                <w:color w:val="1A1A1A"/>
                <w:sz w:val="17"/>
              </w:rPr>
              <w:t>区域/分公司管理</w:t>
            </w:r>
          </w:p>
        </w:tc>
        <w:tc>
          <w:tcPr>
            <w:tcW w:type="dxa" w:w="4200"/>
            <w:vAlign w:val="center"/>
          </w:tcPr>
          <w:p>
            <w:pPr>
              <w:spacing w:after="0" w:line="252" w:lineRule="auto"/>
              <w:jc w:val="left"/>
            </w:pPr>
            <w:r>
              <w:rPr>
                <w:rFonts w:ascii="Arial" w:hAnsi="Arial" w:eastAsia="Microsoft YaHei"/>
                <w:b w:val="0"/>
                <w:i w:val="0"/>
                <w:color w:val="1A1A1A"/>
                <w:sz w:val="17"/>
              </w:rPr>
              <w:t>理解本机构问题、形成整改行动</w:t>
            </w:r>
          </w:p>
        </w:tc>
        <w:tc>
          <w:tcPr>
            <w:tcW w:type="dxa" w:w="3260"/>
            <w:vAlign w:val="center"/>
          </w:tcPr>
          <w:p>
            <w:pPr>
              <w:spacing w:after="0" w:line="252" w:lineRule="auto"/>
              <w:jc w:val="left"/>
            </w:pPr>
            <w:r>
              <w:rPr>
                <w:rFonts w:ascii="Arial" w:hAnsi="Arial" w:eastAsia="Microsoft YaHei"/>
                <w:b w:val="0"/>
                <w:i w:val="0"/>
                <w:color w:val="1A1A1A"/>
                <w:sz w:val="17"/>
              </w:rPr>
              <w:t>仅可访问授权机构</w:t>
            </w:r>
          </w:p>
        </w:tc>
      </w:tr>
      <w:tr>
        <w:tc>
          <w:tcPr>
            <w:tcW w:type="dxa" w:w="1900"/>
            <w:vAlign w:val="center"/>
          </w:tcPr>
          <w:p>
            <w:pPr>
              <w:spacing w:after="0" w:line="252" w:lineRule="auto"/>
              <w:jc w:val="left"/>
            </w:pPr>
            <w:r>
              <w:rPr>
                <w:rFonts w:ascii="Arial" w:hAnsi="Arial" w:eastAsia="Microsoft YaHei"/>
                <w:b w:val="0"/>
                <w:i w:val="0"/>
                <w:color w:val="1A1A1A"/>
                <w:sz w:val="17"/>
              </w:rPr>
              <w:t>职能部门</w:t>
            </w:r>
          </w:p>
        </w:tc>
        <w:tc>
          <w:tcPr>
            <w:tcW w:type="dxa" w:w="4200"/>
            <w:vAlign w:val="center"/>
          </w:tcPr>
          <w:p>
            <w:pPr>
              <w:spacing w:after="0" w:line="252" w:lineRule="auto"/>
              <w:jc w:val="left"/>
            </w:pPr>
            <w:r>
              <w:rPr>
                <w:rFonts w:ascii="Arial" w:hAnsi="Arial" w:eastAsia="Microsoft YaHei"/>
                <w:b w:val="0"/>
                <w:i w:val="0"/>
                <w:color w:val="1A1A1A"/>
                <w:sz w:val="17"/>
              </w:rPr>
              <w:t>从专业指标角度定位原因和建议</w:t>
            </w:r>
          </w:p>
        </w:tc>
        <w:tc>
          <w:tcPr>
            <w:tcW w:type="dxa" w:w="3260"/>
            <w:vAlign w:val="center"/>
          </w:tcPr>
          <w:p>
            <w:pPr>
              <w:spacing w:after="0" w:line="252" w:lineRule="auto"/>
              <w:jc w:val="left"/>
            </w:pPr>
            <w:r>
              <w:rPr>
                <w:rFonts w:ascii="Arial" w:hAnsi="Arial" w:eastAsia="Microsoft YaHei"/>
                <w:b w:val="0"/>
                <w:i w:val="0"/>
                <w:color w:val="1A1A1A"/>
                <w:sz w:val="17"/>
              </w:rPr>
              <w:t>按职能和机构范围授权</w:t>
            </w:r>
          </w:p>
        </w:tc>
      </w:tr>
      <w:tr>
        <w:tc>
          <w:tcPr>
            <w:tcW w:type="dxa" w:w="1900"/>
            <w:vAlign w:val="center"/>
          </w:tcPr>
          <w:p>
            <w:pPr>
              <w:spacing w:after="0" w:line="252" w:lineRule="auto"/>
              <w:jc w:val="left"/>
            </w:pPr>
            <w:r>
              <w:rPr>
                <w:rFonts w:ascii="Arial" w:hAnsi="Arial" w:eastAsia="Microsoft YaHei"/>
                <w:b w:val="0"/>
                <w:i w:val="0"/>
                <w:color w:val="1A1A1A"/>
                <w:sz w:val="17"/>
              </w:rPr>
              <w:t>系统管理员</w:t>
            </w:r>
          </w:p>
        </w:tc>
        <w:tc>
          <w:tcPr>
            <w:tcW w:type="dxa" w:w="4200"/>
            <w:vAlign w:val="center"/>
          </w:tcPr>
          <w:p>
            <w:pPr>
              <w:spacing w:after="0" w:line="252" w:lineRule="auto"/>
              <w:jc w:val="left"/>
            </w:pPr>
            <w:r>
              <w:rPr>
                <w:rFonts w:ascii="Arial" w:hAnsi="Arial" w:eastAsia="Microsoft YaHei"/>
                <w:b w:val="0"/>
                <w:i w:val="0"/>
                <w:color w:val="1A1A1A"/>
                <w:sz w:val="17"/>
              </w:rPr>
              <w:t>配置模型、规则、评测和审计</w:t>
            </w:r>
          </w:p>
        </w:tc>
        <w:tc>
          <w:tcPr>
            <w:tcW w:type="dxa" w:w="3260"/>
            <w:vAlign w:val="center"/>
          </w:tcPr>
          <w:p>
            <w:pPr>
              <w:spacing w:after="0" w:line="252" w:lineRule="auto"/>
              <w:jc w:val="left"/>
            </w:pPr>
            <w:r>
              <w:rPr>
                <w:rFonts w:ascii="Arial" w:hAnsi="Arial" w:eastAsia="Microsoft YaHei"/>
                <w:b w:val="0"/>
                <w:i w:val="0"/>
                <w:color w:val="1A1A1A"/>
                <w:sz w:val="17"/>
              </w:rPr>
              <w:t>不默认获得业务数据导出权限</w:t>
            </w:r>
          </w:p>
        </w:tc>
      </w:tr>
    </w:tbl>
    <w:p>
      <w:pPr>
        <w:spacing w:after="0"/>
      </w:pPr>
    </w:p>
    <w:p>
      <w:pPr>
        <w:pStyle w:val="Heading2"/>
      </w:pPr>
      <w:r>
        <w:t>3.1 核心场景</w:t>
      </w:r>
    </w:p>
    <w:p>
      <w:pPr>
        <w:spacing w:after="80"/>
        <w:numPr>
          <w:ilvl w:val="0"/>
          <w:numId w:val="41"/>
        </w:numPr>
      </w:pPr>
      <w:r>
        <w:rPr>
          <w:rFonts w:ascii="Arial" w:hAnsi="Arial" w:eastAsia="Microsoft YaHei"/>
          <w:b w:val="0"/>
          <w:i w:val="0"/>
          <w:color w:val="1A1A1A"/>
          <w:sz w:val="21"/>
        </w:rPr>
        <w:t>数据导入后，系统识别异常机构并生成规则诊断。</w:t>
      </w:r>
    </w:p>
    <w:p>
      <w:pPr>
        <w:spacing w:after="80"/>
        <w:numPr>
          <w:ilvl w:val="0"/>
          <w:numId w:val="41"/>
        </w:numPr>
      </w:pPr>
      <w:r>
        <w:rPr>
          <w:rFonts w:ascii="Arial" w:hAnsi="Arial" w:eastAsia="Microsoft YaHei"/>
          <w:b w:val="0"/>
          <w:i w:val="0"/>
          <w:color w:val="1A1A1A"/>
          <w:sz w:val="21"/>
        </w:rPr>
        <w:t>用户提出经营目标，智能体拆解分析任务并调用指标、趋势、对标和证据工具。</w:t>
      </w:r>
    </w:p>
    <w:p>
      <w:pPr>
        <w:spacing w:after="80"/>
        <w:numPr>
          <w:ilvl w:val="0"/>
          <w:numId w:val="41"/>
        </w:numPr>
      </w:pPr>
      <w:r>
        <w:rPr>
          <w:rFonts w:ascii="Arial" w:hAnsi="Arial" w:eastAsia="Microsoft YaHei"/>
          <w:b w:val="0"/>
          <w:i w:val="0"/>
          <w:color w:val="1A1A1A"/>
          <w:sz w:val="21"/>
        </w:rPr>
        <w:t>智能体发现证据不足时，主动说明缺口并向用户提出最少必要的澄清问题。</w:t>
      </w:r>
    </w:p>
    <w:p>
      <w:pPr>
        <w:spacing w:after="80"/>
        <w:numPr>
          <w:ilvl w:val="0"/>
          <w:numId w:val="41"/>
        </w:numPr>
      </w:pPr>
      <w:r>
        <w:rPr>
          <w:rFonts w:ascii="Arial" w:hAnsi="Arial" w:eastAsia="Microsoft YaHei"/>
          <w:b w:val="0"/>
          <w:i w:val="0"/>
          <w:color w:val="1A1A1A"/>
          <w:sz w:val="21"/>
        </w:rPr>
        <w:t>智能体生成带证据的结论和可执行建议，经用户确认后形成整改任务。</w:t>
      </w:r>
    </w:p>
    <w:p>
      <w:pPr>
        <w:spacing w:after="80"/>
        <w:numPr>
          <w:ilvl w:val="0"/>
          <w:numId w:val="41"/>
        </w:numPr>
      </w:pPr>
      <w:r>
        <w:rPr>
          <w:rFonts w:ascii="Arial" w:hAnsi="Arial" w:eastAsia="Microsoft YaHei"/>
          <w:b w:val="0"/>
          <w:i w:val="0"/>
          <w:color w:val="1A1A1A"/>
          <w:sz w:val="21"/>
        </w:rPr>
        <w:t>后续周期数据到达时，系统复盘指标变化，并明确相关性边界，不宣称未经证实的因果关系。</w:t>
      </w:r>
    </w:p>
    <w:p>
      <w:pPr>
        <w:pStyle w:val="Heading1"/>
      </w:pPr>
      <w:r>
        <w:t>4. 智能体目标工作流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shd w:fill="EAF2F8"/>
          </w:tcPr>
          <w:p>
            <w:pPr>
              <w:spacing w:after="0"/>
            </w:pPr>
            <w:r>
              <w:rPr>
                <w:rFonts w:ascii="Arial" w:hAnsi="Arial" w:eastAsia="Microsoft YaHei"/>
                <w:b/>
                <w:i w:val="0"/>
                <w:color w:val="17365D"/>
                <w:sz w:val="21"/>
              </w:rPr>
              <w:t xml:space="preserve">标准执行链 </w:t>
            </w:r>
            <w:r>
              <w:rPr>
                <w:rFonts w:ascii="Arial" w:hAnsi="Arial" w:eastAsia="Microsoft YaHei"/>
                <w:b w:val="0"/>
                <w:i w:val="0"/>
                <w:color w:val="17365D"/>
                <w:sz w:val="21"/>
              </w:rPr>
              <w:t>读取用户目标 → 识别机构与周期 → 生成分析计划 → 选择确定性工具 → 执行并保存中间结果 → 校验证据和数字 → 判断是否需要补充信息 → 生成结论与建议 → 用户确认 → 创建整改任务 → 后续复盘。</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700"/>
        <w:gridCol w:w="4700"/>
        <w:gridCol w:w="2960"/>
      </w:tblGrid>
      <w:tr>
        <w:trPr>
          <w:tblHeader w:val="true"/>
        </w:trPr>
        <w:tc>
          <w:tcPr>
            <w:tcW w:type="dxa" w:w="17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阶段</w:t>
            </w:r>
          </w:p>
        </w:tc>
        <w:tc>
          <w:tcPr>
            <w:tcW w:type="dxa" w:w="47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系统行为</w:t>
            </w:r>
          </w:p>
        </w:tc>
        <w:tc>
          <w:tcPr>
            <w:tcW w:type="dxa" w:w="296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必须留痕</w:t>
            </w:r>
          </w:p>
        </w:tc>
      </w:tr>
      <w:tr>
        <w:tc>
          <w:tcPr>
            <w:tcW w:type="dxa" w:w="1700"/>
            <w:vAlign w:val="center"/>
          </w:tcPr>
          <w:p>
            <w:pPr>
              <w:spacing w:after="0" w:line="252" w:lineRule="auto"/>
              <w:jc w:val="left"/>
            </w:pPr>
            <w:r>
              <w:rPr>
                <w:rFonts w:ascii="Arial" w:hAnsi="Arial" w:eastAsia="Microsoft YaHei"/>
                <w:b w:val="0"/>
                <w:i w:val="0"/>
                <w:color w:val="1A1A1A"/>
                <w:sz w:val="17"/>
              </w:rPr>
              <w:t>目标理解</w:t>
            </w:r>
          </w:p>
        </w:tc>
        <w:tc>
          <w:tcPr>
            <w:tcW w:type="dxa" w:w="4700"/>
            <w:vAlign w:val="center"/>
          </w:tcPr>
          <w:p>
            <w:pPr>
              <w:spacing w:after="0" w:line="252" w:lineRule="auto"/>
              <w:jc w:val="left"/>
            </w:pPr>
            <w:r>
              <w:rPr>
                <w:rFonts w:ascii="Arial" w:hAnsi="Arial" w:eastAsia="Microsoft YaHei"/>
                <w:b w:val="0"/>
                <w:i w:val="0"/>
                <w:color w:val="1A1A1A"/>
                <w:sz w:val="17"/>
              </w:rPr>
              <w:t>识别问题、机构、周期、指标和输出形式</w:t>
            </w:r>
          </w:p>
        </w:tc>
        <w:tc>
          <w:tcPr>
            <w:tcW w:type="dxa" w:w="2960"/>
            <w:vAlign w:val="center"/>
          </w:tcPr>
          <w:p>
            <w:pPr>
              <w:spacing w:after="0" w:line="252" w:lineRule="auto"/>
              <w:jc w:val="left"/>
            </w:pPr>
            <w:r>
              <w:rPr>
                <w:rFonts w:ascii="Arial" w:hAnsi="Arial" w:eastAsia="Microsoft YaHei"/>
                <w:b w:val="0"/>
                <w:i w:val="0"/>
                <w:color w:val="1A1A1A"/>
                <w:sz w:val="17"/>
              </w:rPr>
              <w:t>原始问题、结构化目标</w:t>
            </w:r>
          </w:p>
        </w:tc>
      </w:tr>
      <w:tr>
        <w:tc>
          <w:tcPr>
            <w:tcW w:type="dxa" w:w="1700"/>
            <w:vAlign w:val="center"/>
          </w:tcPr>
          <w:p>
            <w:pPr>
              <w:spacing w:after="0" w:line="252" w:lineRule="auto"/>
              <w:jc w:val="left"/>
            </w:pPr>
            <w:r>
              <w:rPr>
                <w:rFonts w:ascii="Arial" w:hAnsi="Arial" w:eastAsia="Microsoft YaHei"/>
                <w:b w:val="0"/>
                <w:i w:val="0"/>
                <w:color w:val="1A1A1A"/>
                <w:sz w:val="17"/>
              </w:rPr>
              <w:t>计划生成</w:t>
            </w:r>
          </w:p>
        </w:tc>
        <w:tc>
          <w:tcPr>
            <w:tcW w:type="dxa" w:w="4700"/>
            <w:vAlign w:val="center"/>
          </w:tcPr>
          <w:p>
            <w:pPr>
              <w:spacing w:after="0" w:line="252" w:lineRule="auto"/>
              <w:jc w:val="left"/>
            </w:pPr>
            <w:r>
              <w:rPr>
                <w:rFonts w:ascii="Arial" w:hAnsi="Arial" w:eastAsia="Microsoft YaHei"/>
                <w:b w:val="0"/>
                <w:i w:val="0"/>
                <w:color w:val="1A1A1A"/>
                <w:sz w:val="17"/>
              </w:rPr>
              <w:t>拆分分析步骤并说明所需工具</w:t>
            </w:r>
          </w:p>
        </w:tc>
        <w:tc>
          <w:tcPr>
            <w:tcW w:type="dxa" w:w="2960"/>
            <w:vAlign w:val="center"/>
          </w:tcPr>
          <w:p>
            <w:pPr>
              <w:spacing w:after="0" w:line="252" w:lineRule="auto"/>
              <w:jc w:val="left"/>
            </w:pPr>
            <w:r>
              <w:rPr>
                <w:rFonts w:ascii="Arial" w:hAnsi="Arial" w:eastAsia="Microsoft YaHei"/>
                <w:b w:val="0"/>
                <w:i w:val="0"/>
                <w:color w:val="1A1A1A"/>
                <w:sz w:val="17"/>
              </w:rPr>
              <w:t>计划版本、步骤状态</w:t>
            </w:r>
          </w:p>
        </w:tc>
      </w:tr>
      <w:tr>
        <w:tc>
          <w:tcPr>
            <w:tcW w:type="dxa" w:w="1700"/>
            <w:vAlign w:val="center"/>
          </w:tcPr>
          <w:p>
            <w:pPr>
              <w:spacing w:after="0" w:line="252" w:lineRule="auto"/>
              <w:jc w:val="left"/>
            </w:pPr>
            <w:r>
              <w:rPr>
                <w:rFonts w:ascii="Arial" w:hAnsi="Arial" w:eastAsia="Microsoft YaHei"/>
                <w:b w:val="0"/>
                <w:i w:val="0"/>
                <w:color w:val="1A1A1A"/>
                <w:sz w:val="17"/>
              </w:rPr>
              <w:t>工具执行</w:t>
            </w:r>
          </w:p>
        </w:tc>
        <w:tc>
          <w:tcPr>
            <w:tcW w:type="dxa" w:w="4700"/>
            <w:vAlign w:val="center"/>
          </w:tcPr>
          <w:p>
            <w:pPr>
              <w:spacing w:after="0" w:line="252" w:lineRule="auto"/>
              <w:jc w:val="left"/>
            </w:pPr>
            <w:r>
              <w:rPr>
                <w:rFonts w:ascii="Arial" w:hAnsi="Arial" w:eastAsia="Microsoft YaHei"/>
                <w:b w:val="0"/>
                <w:i w:val="0"/>
                <w:color w:val="1A1A1A"/>
                <w:sz w:val="17"/>
              </w:rPr>
              <w:t>调用指标、趋势、对标、证据、任务等工具</w:t>
            </w:r>
          </w:p>
        </w:tc>
        <w:tc>
          <w:tcPr>
            <w:tcW w:type="dxa" w:w="2960"/>
            <w:vAlign w:val="center"/>
          </w:tcPr>
          <w:p>
            <w:pPr>
              <w:spacing w:after="0" w:line="252" w:lineRule="auto"/>
              <w:jc w:val="left"/>
            </w:pPr>
            <w:r>
              <w:rPr>
                <w:rFonts w:ascii="Arial" w:hAnsi="Arial" w:eastAsia="Microsoft YaHei"/>
                <w:b w:val="0"/>
                <w:i w:val="0"/>
                <w:color w:val="1A1A1A"/>
                <w:sz w:val="17"/>
              </w:rPr>
              <w:t>输入、输出、耗时、错误</w:t>
            </w:r>
          </w:p>
        </w:tc>
      </w:tr>
      <w:tr>
        <w:tc>
          <w:tcPr>
            <w:tcW w:type="dxa" w:w="1700"/>
            <w:vAlign w:val="center"/>
          </w:tcPr>
          <w:p>
            <w:pPr>
              <w:spacing w:after="0" w:line="252" w:lineRule="auto"/>
              <w:jc w:val="left"/>
            </w:pPr>
            <w:r>
              <w:rPr>
                <w:rFonts w:ascii="Arial" w:hAnsi="Arial" w:eastAsia="Microsoft YaHei"/>
                <w:b w:val="0"/>
                <w:i w:val="0"/>
                <w:color w:val="1A1A1A"/>
                <w:sz w:val="17"/>
              </w:rPr>
              <w:t>自检纠错</w:t>
            </w:r>
          </w:p>
        </w:tc>
        <w:tc>
          <w:tcPr>
            <w:tcW w:type="dxa" w:w="4700"/>
            <w:vAlign w:val="center"/>
          </w:tcPr>
          <w:p>
            <w:pPr>
              <w:spacing w:after="0" w:line="252" w:lineRule="auto"/>
              <w:jc w:val="left"/>
            </w:pPr>
            <w:r>
              <w:rPr>
                <w:rFonts w:ascii="Arial" w:hAnsi="Arial" w:eastAsia="Microsoft YaHei"/>
                <w:b w:val="0"/>
                <w:i w:val="0"/>
                <w:color w:val="1A1A1A"/>
                <w:sz w:val="17"/>
              </w:rPr>
              <w:t>检查数字、证据、冲突和信息缺口</w:t>
            </w:r>
          </w:p>
        </w:tc>
        <w:tc>
          <w:tcPr>
            <w:tcW w:type="dxa" w:w="2960"/>
            <w:vAlign w:val="center"/>
          </w:tcPr>
          <w:p>
            <w:pPr>
              <w:spacing w:after="0" w:line="252" w:lineRule="auto"/>
              <w:jc w:val="left"/>
            </w:pPr>
            <w:r>
              <w:rPr>
                <w:rFonts w:ascii="Arial" w:hAnsi="Arial" w:eastAsia="Microsoft YaHei"/>
                <w:b w:val="0"/>
                <w:i w:val="0"/>
                <w:color w:val="1A1A1A"/>
                <w:sz w:val="17"/>
              </w:rPr>
              <w:t>校验结果、重试原因</w:t>
            </w:r>
          </w:p>
        </w:tc>
      </w:tr>
      <w:tr>
        <w:tc>
          <w:tcPr>
            <w:tcW w:type="dxa" w:w="1700"/>
            <w:vAlign w:val="center"/>
          </w:tcPr>
          <w:p>
            <w:pPr>
              <w:spacing w:after="0" w:line="252" w:lineRule="auto"/>
              <w:jc w:val="left"/>
            </w:pPr>
            <w:r>
              <w:rPr>
                <w:rFonts w:ascii="Arial" w:hAnsi="Arial" w:eastAsia="Microsoft YaHei"/>
                <w:b w:val="0"/>
                <w:i w:val="0"/>
                <w:color w:val="1A1A1A"/>
                <w:sz w:val="17"/>
              </w:rPr>
              <w:t>结果生成</w:t>
            </w:r>
          </w:p>
        </w:tc>
        <w:tc>
          <w:tcPr>
            <w:tcW w:type="dxa" w:w="4700"/>
            <w:vAlign w:val="center"/>
          </w:tcPr>
          <w:p>
            <w:pPr>
              <w:spacing w:after="0" w:line="252" w:lineRule="auto"/>
              <w:jc w:val="left"/>
            </w:pPr>
            <w:r>
              <w:rPr>
                <w:rFonts w:ascii="Arial" w:hAnsi="Arial" w:eastAsia="Microsoft YaHei"/>
                <w:b w:val="0"/>
                <w:i w:val="0"/>
                <w:color w:val="1A1A1A"/>
                <w:sz w:val="17"/>
              </w:rPr>
              <w:t>区分事实、推断、限制和建议</w:t>
            </w:r>
          </w:p>
        </w:tc>
        <w:tc>
          <w:tcPr>
            <w:tcW w:type="dxa" w:w="2960"/>
            <w:vAlign w:val="center"/>
          </w:tcPr>
          <w:p>
            <w:pPr>
              <w:spacing w:after="0" w:line="252" w:lineRule="auto"/>
              <w:jc w:val="left"/>
            </w:pPr>
            <w:r>
              <w:rPr>
                <w:rFonts w:ascii="Arial" w:hAnsi="Arial" w:eastAsia="Microsoft YaHei"/>
                <w:b w:val="0"/>
                <w:i w:val="0"/>
                <w:color w:val="1A1A1A"/>
                <w:sz w:val="17"/>
              </w:rPr>
              <w:t>模型、Prompt、证据引用</w:t>
            </w:r>
          </w:p>
        </w:tc>
      </w:tr>
      <w:tr>
        <w:tc>
          <w:tcPr>
            <w:tcW w:type="dxa" w:w="1700"/>
            <w:vAlign w:val="center"/>
          </w:tcPr>
          <w:p>
            <w:pPr>
              <w:spacing w:after="0" w:line="252" w:lineRule="auto"/>
              <w:jc w:val="left"/>
            </w:pPr>
            <w:r>
              <w:rPr>
                <w:rFonts w:ascii="Arial" w:hAnsi="Arial" w:eastAsia="Microsoft YaHei"/>
                <w:b w:val="0"/>
                <w:i w:val="0"/>
                <w:color w:val="1A1A1A"/>
                <w:sz w:val="17"/>
              </w:rPr>
              <w:t>闭环执行</w:t>
            </w:r>
          </w:p>
        </w:tc>
        <w:tc>
          <w:tcPr>
            <w:tcW w:type="dxa" w:w="4700"/>
            <w:vAlign w:val="center"/>
          </w:tcPr>
          <w:p>
            <w:pPr>
              <w:spacing w:after="0" w:line="252" w:lineRule="auto"/>
              <w:jc w:val="left"/>
            </w:pPr>
            <w:r>
              <w:rPr>
                <w:rFonts w:ascii="Arial" w:hAnsi="Arial" w:eastAsia="Microsoft YaHei"/>
                <w:b w:val="0"/>
                <w:i w:val="0"/>
                <w:color w:val="1A1A1A"/>
                <w:sz w:val="17"/>
              </w:rPr>
              <w:t>经确认创建整改任务并跟踪复盘</w:t>
            </w:r>
          </w:p>
        </w:tc>
        <w:tc>
          <w:tcPr>
            <w:tcW w:type="dxa" w:w="2960"/>
            <w:vAlign w:val="center"/>
          </w:tcPr>
          <w:p>
            <w:pPr>
              <w:spacing w:after="0" w:line="252" w:lineRule="auto"/>
              <w:jc w:val="left"/>
            </w:pPr>
            <w:r>
              <w:rPr>
                <w:rFonts w:ascii="Arial" w:hAnsi="Arial" w:eastAsia="Microsoft YaHei"/>
                <w:b w:val="0"/>
                <w:i w:val="0"/>
                <w:color w:val="1A1A1A"/>
                <w:sz w:val="17"/>
              </w:rPr>
              <w:t>确认人、任务和状态历史</w:t>
            </w:r>
          </w:p>
        </w:tc>
      </w:tr>
    </w:tbl>
    <w:p>
      <w:pPr>
        <w:spacing w:after="0"/>
      </w:pPr>
    </w:p>
    <w:p>
      <w:pPr>
        <w:pStyle w:val="Heading1"/>
      </w:pPr>
      <w:r>
        <w:t>5. 功能需求</w:t>
      </w:r>
    </w:p>
    <w:p>
      <w:pPr>
        <w:pStyle w:val="Heading2"/>
      </w:pPr>
      <w:r>
        <w:t>5.1 P0：AI 可靠性与安全门禁</w:t>
      </w:r>
    </w:p>
    <w:tbl>
      <w:tblPr>
        <w:tblStyle w:val="TableGrid"/>
        <w:tblW w:type="dxa" w:w="9360"/>
        <w:jc w:val="left"/>
        <w:tblLayout w:type="fixed"/>
        <w:tblLook w:firstColumn="1" w:firstRow="1" w:lastColumn="0" w:lastRow="0" w:noHBand="0" w:noVBand="1" w:val="04A0"/>
        <w:tblInd w:w="120" w:type="dxa"/>
      </w:tblPr>
      <w:tblGrid>
        <w:gridCol w:w="1050"/>
        <w:gridCol w:w="2300"/>
        <w:gridCol w:w="3300"/>
        <w:gridCol w:w="2710"/>
      </w:tblGrid>
      <w:tr>
        <w:trPr>
          <w:tblHeader w:val="true"/>
        </w:trPr>
        <w:tc>
          <w:tcPr>
            <w:tcW w:type="dxa" w:w="105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编号</w:t>
            </w:r>
          </w:p>
        </w:tc>
        <w:tc>
          <w:tcPr>
            <w:tcW w:type="dxa" w:w="23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需求</w:t>
            </w:r>
          </w:p>
        </w:tc>
        <w:tc>
          <w:tcPr>
            <w:tcW w:type="dxa" w:w="33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关键规则</w:t>
            </w:r>
          </w:p>
        </w:tc>
        <w:tc>
          <w:tcPr>
            <w:tcW w:type="dxa" w:w="271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验收标准</w:t>
            </w:r>
          </w:p>
        </w:tc>
      </w:tr>
      <w:tr>
        <w:tc>
          <w:tcPr>
            <w:tcW w:type="dxa" w:w="1050"/>
            <w:vAlign w:val="center"/>
          </w:tcPr>
          <w:p>
            <w:pPr>
              <w:spacing w:after="0" w:line="252" w:lineRule="auto"/>
              <w:jc w:val="left"/>
            </w:pPr>
            <w:r>
              <w:rPr>
                <w:rFonts w:ascii="Arial" w:hAnsi="Arial" w:eastAsia="Microsoft YaHei"/>
                <w:b w:val="0"/>
                <w:i w:val="0"/>
                <w:color w:val="1A1A1A"/>
                <w:sz w:val="16"/>
              </w:rPr>
              <w:t>FR-P0-01</w:t>
            </w:r>
          </w:p>
        </w:tc>
        <w:tc>
          <w:tcPr>
            <w:tcW w:type="dxa" w:w="2300"/>
            <w:vAlign w:val="center"/>
          </w:tcPr>
          <w:p>
            <w:pPr>
              <w:spacing w:after="0" w:line="252" w:lineRule="auto"/>
              <w:jc w:val="left"/>
            </w:pPr>
            <w:r>
              <w:rPr>
                <w:rFonts w:ascii="Arial" w:hAnsi="Arial" w:eastAsia="Microsoft YaHei"/>
                <w:b w:val="0"/>
                <w:i w:val="0"/>
                <w:color w:val="1A1A1A"/>
                <w:sz w:val="16"/>
              </w:rPr>
              <w:t>真实 AI 评测引擎</w:t>
            </w:r>
          </w:p>
        </w:tc>
        <w:tc>
          <w:tcPr>
            <w:tcW w:type="dxa" w:w="3300"/>
            <w:vAlign w:val="center"/>
          </w:tcPr>
          <w:p>
            <w:pPr>
              <w:spacing w:after="0" w:line="252" w:lineRule="auto"/>
              <w:jc w:val="left"/>
            </w:pPr>
            <w:r>
              <w:rPr>
                <w:rFonts w:ascii="Arial" w:hAnsi="Arial" w:eastAsia="Microsoft YaHei"/>
                <w:b w:val="0"/>
                <w:i w:val="0"/>
                <w:color w:val="1A1A1A"/>
                <w:sz w:val="16"/>
              </w:rPr>
              <w:t>校验 Schema、数字、证据、允许/禁止结论和必需建议</w:t>
            </w:r>
          </w:p>
        </w:tc>
        <w:tc>
          <w:tcPr>
            <w:tcW w:type="dxa" w:w="2710"/>
            <w:vAlign w:val="center"/>
          </w:tcPr>
          <w:p>
            <w:pPr>
              <w:spacing w:after="0" w:line="252" w:lineRule="auto"/>
              <w:jc w:val="left"/>
            </w:pPr>
            <w:r>
              <w:rPr>
                <w:rFonts w:ascii="Arial" w:hAnsi="Arial" w:eastAsia="Microsoft YaHei"/>
                <w:b w:val="0"/>
                <w:i w:val="0"/>
                <w:color w:val="1A1A1A"/>
                <w:sz w:val="16"/>
              </w:rPr>
              <w:t>空对象、缺证据、错误数字必须失败</w:t>
            </w:r>
          </w:p>
        </w:tc>
      </w:tr>
      <w:tr>
        <w:tc>
          <w:tcPr>
            <w:tcW w:type="dxa" w:w="1050"/>
            <w:vAlign w:val="center"/>
          </w:tcPr>
          <w:p>
            <w:pPr>
              <w:spacing w:after="0" w:line="252" w:lineRule="auto"/>
              <w:jc w:val="left"/>
            </w:pPr>
            <w:r>
              <w:rPr>
                <w:rFonts w:ascii="Arial" w:hAnsi="Arial" w:eastAsia="Microsoft YaHei"/>
                <w:b w:val="0"/>
                <w:i w:val="0"/>
                <w:color w:val="1A1A1A"/>
                <w:sz w:val="16"/>
              </w:rPr>
              <w:t>FR-P0-02</w:t>
            </w:r>
          </w:p>
        </w:tc>
        <w:tc>
          <w:tcPr>
            <w:tcW w:type="dxa" w:w="2300"/>
            <w:vAlign w:val="center"/>
          </w:tcPr>
          <w:p>
            <w:pPr>
              <w:spacing w:after="0" w:line="252" w:lineRule="auto"/>
              <w:jc w:val="left"/>
            </w:pPr>
            <w:r>
              <w:rPr>
                <w:rFonts w:ascii="Arial" w:hAnsi="Arial" w:eastAsia="Microsoft YaHei"/>
                <w:b w:val="0"/>
                <w:i w:val="0"/>
                <w:color w:val="1A1A1A"/>
                <w:sz w:val="16"/>
              </w:rPr>
              <w:t>统一输出校验器</w:t>
            </w:r>
          </w:p>
        </w:tc>
        <w:tc>
          <w:tcPr>
            <w:tcW w:type="dxa" w:w="3300"/>
            <w:vAlign w:val="center"/>
          </w:tcPr>
          <w:p>
            <w:pPr>
              <w:spacing w:after="0" w:line="252" w:lineRule="auto"/>
              <w:jc w:val="left"/>
            </w:pPr>
            <w:r>
              <w:rPr>
                <w:rFonts w:ascii="Arial" w:hAnsi="Arial" w:eastAsia="Microsoft YaHei"/>
                <w:b w:val="0"/>
                <w:i w:val="0"/>
                <w:color w:val="1A1A1A"/>
                <w:sz w:val="16"/>
              </w:rPr>
              <w:t>诊断解读与追问使用同一验证链</w:t>
            </w:r>
          </w:p>
        </w:tc>
        <w:tc>
          <w:tcPr>
            <w:tcW w:type="dxa" w:w="2710"/>
            <w:vAlign w:val="center"/>
          </w:tcPr>
          <w:p>
            <w:pPr>
              <w:spacing w:after="0" w:line="252" w:lineRule="auto"/>
              <w:jc w:val="left"/>
            </w:pPr>
            <w:r>
              <w:rPr>
                <w:rFonts w:ascii="Arial" w:hAnsi="Arial" w:eastAsia="Microsoft YaHei"/>
                <w:b w:val="0"/>
                <w:i w:val="0"/>
                <w:color w:val="1A1A1A"/>
                <w:sz w:val="16"/>
              </w:rPr>
              <w:t>追问中的无依据数字被拦截或降级</w:t>
            </w:r>
          </w:p>
        </w:tc>
      </w:tr>
      <w:tr>
        <w:tc>
          <w:tcPr>
            <w:tcW w:type="dxa" w:w="1050"/>
            <w:vAlign w:val="center"/>
          </w:tcPr>
          <w:p>
            <w:pPr>
              <w:spacing w:after="0" w:line="252" w:lineRule="auto"/>
              <w:jc w:val="left"/>
            </w:pPr>
            <w:r>
              <w:rPr>
                <w:rFonts w:ascii="Arial" w:hAnsi="Arial" w:eastAsia="Microsoft YaHei"/>
                <w:b w:val="0"/>
                <w:i w:val="0"/>
                <w:color w:val="1A1A1A"/>
                <w:sz w:val="16"/>
              </w:rPr>
              <w:t>FR-P0-03</w:t>
            </w:r>
          </w:p>
        </w:tc>
        <w:tc>
          <w:tcPr>
            <w:tcW w:type="dxa" w:w="2300"/>
            <w:vAlign w:val="center"/>
          </w:tcPr>
          <w:p>
            <w:pPr>
              <w:spacing w:after="0" w:line="252" w:lineRule="auto"/>
              <w:jc w:val="left"/>
            </w:pPr>
            <w:r>
              <w:rPr>
                <w:rFonts w:ascii="Arial" w:hAnsi="Arial" w:eastAsia="Microsoft YaHei"/>
                <w:b w:val="0"/>
                <w:i w:val="0"/>
                <w:color w:val="1A1A1A"/>
                <w:sz w:val="16"/>
              </w:rPr>
              <w:t>模型失败处理</w:t>
            </w:r>
          </w:p>
        </w:tc>
        <w:tc>
          <w:tcPr>
            <w:tcW w:type="dxa" w:w="3300"/>
            <w:vAlign w:val="center"/>
          </w:tcPr>
          <w:p>
            <w:pPr>
              <w:spacing w:after="0" w:line="252" w:lineRule="auto"/>
              <w:jc w:val="left"/>
            </w:pPr>
            <w:r>
              <w:rPr>
                <w:rFonts w:ascii="Arial" w:hAnsi="Arial" w:eastAsia="Microsoft YaHei"/>
                <w:b w:val="0"/>
                <w:i w:val="0"/>
                <w:color w:val="1A1A1A"/>
                <w:sz w:val="16"/>
              </w:rPr>
              <w:t>格式错误重试一次；超时、限流、拒答分类降级</w:t>
            </w:r>
          </w:p>
        </w:tc>
        <w:tc>
          <w:tcPr>
            <w:tcW w:type="dxa" w:w="2710"/>
            <w:vAlign w:val="center"/>
          </w:tcPr>
          <w:p>
            <w:pPr>
              <w:spacing w:after="0" w:line="252" w:lineRule="auto"/>
              <w:jc w:val="left"/>
            </w:pPr>
            <w:r>
              <w:rPr>
                <w:rFonts w:ascii="Arial" w:hAnsi="Arial" w:eastAsia="Microsoft YaHei"/>
                <w:b w:val="0"/>
                <w:i w:val="0"/>
                <w:color w:val="1A1A1A"/>
                <w:sz w:val="16"/>
              </w:rPr>
              <w:t>所有异常均有明确状态和审计</w:t>
            </w:r>
          </w:p>
        </w:tc>
      </w:tr>
      <w:tr>
        <w:tc>
          <w:tcPr>
            <w:tcW w:type="dxa" w:w="1050"/>
            <w:vAlign w:val="center"/>
          </w:tcPr>
          <w:p>
            <w:pPr>
              <w:spacing w:after="0" w:line="252" w:lineRule="auto"/>
              <w:jc w:val="left"/>
            </w:pPr>
            <w:r>
              <w:rPr>
                <w:rFonts w:ascii="Arial" w:hAnsi="Arial" w:eastAsia="Microsoft YaHei"/>
                <w:b w:val="0"/>
                <w:i w:val="0"/>
                <w:color w:val="1A1A1A"/>
                <w:sz w:val="16"/>
              </w:rPr>
              <w:t>FR-P0-04</w:t>
            </w:r>
          </w:p>
        </w:tc>
        <w:tc>
          <w:tcPr>
            <w:tcW w:type="dxa" w:w="2300"/>
            <w:vAlign w:val="center"/>
          </w:tcPr>
          <w:p>
            <w:pPr>
              <w:spacing w:after="0" w:line="252" w:lineRule="auto"/>
              <w:jc w:val="left"/>
            </w:pPr>
            <w:r>
              <w:rPr>
                <w:rFonts w:ascii="Arial" w:hAnsi="Arial" w:eastAsia="Microsoft YaHei"/>
                <w:b w:val="0"/>
                <w:i w:val="0"/>
                <w:color w:val="1A1A1A"/>
                <w:sz w:val="16"/>
              </w:rPr>
              <w:t>提示注入防护</w:t>
            </w:r>
          </w:p>
        </w:tc>
        <w:tc>
          <w:tcPr>
            <w:tcW w:type="dxa" w:w="3300"/>
            <w:vAlign w:val="center"/>
          </w:tcPr>
          <w:p>
            <w:pPr>
              <w:spacing w:after="0" w:line="252" w:lineRule="auto"/>
              <w:jc w:val="left"/>
            </w:pPr>
            <w:r>
              <w:rPr>
                <w:rFonts w:ascii="Arial" w:hAnsi="Arial" w:eastAsia="Microsoft YaHei"/>
                <w:b w:val="0"/>
                <w:i w:val="0"/>
                <w:color w:val="1A1A1A"/>
                <w:sz w:val="16"/>
              </w:rPr>
              <w:t>业务数据仅作为数据上下文，不执行其中指令</w:t>
            </w:r>
          </w:p>
        </w:tc>
        <w:tc>
          <w:tcPr>
            <w:tcW w:type="dxa" w:w="2710"/>
            <w:vAlign w:val="center"/>
          </w:tcPr>
          <w:p>
            <w:pPr>
              <w:spacing w:after="0" w:line="252" w:lineRule="auto"/>
              <w:jc w:val="left"/>
            </w:pPr>
            <w:r>
              <w:rPr>
                <w:rFonts w:ascii="Arial" w:hAnsi="Arial" w:eastAsia="Microsoft YaHei"/>
                <w:b w:val="0"/>
                <w:i w:val="0"/>
                <w:color w:val="1A1A1A"/>
                <w:sz w:val="16"/>
              </w:rPr>
              <w:t>注入测试集严重违规为 0</w:t>
            </w:r>
          </w:p>
        </w:tc>
      </w:tr>
      <w:tr>
        <w:tc>
          <w:tcPr>
            <w:tcW w:type="dxa" w:w="1050"/>
            <w:vAlign w:val="center"/>
          </w:tcPr>
          <w:p>
            <w:pPr>
              <w:spacing w:after="0" w:line="252" w:lineRule="auto"/>
              <w:jc w:val="left"/>
            </w:pPr>
            <w:r>
              <w:rPr>
                <w:rFonts w:ascii="Arial" w:hAnsi="Arial" w:eastAsia="Microsoft YaHei"/>
                <w:b w:val="0"/>
                <w:i w:val="0"/>
                <w:color w:val="1A1A1A"/>
                <w:sz w:val="16"/>
              </w:rPr>
              <w:t>FR-P0-05</w:t>
            </w:r>
          </w:p>
        </w:tc>
        <w:tc>
          <w:tcPr>
            <w:tcW w:type="dxa" w:w="2300"/>
            <w:vAlign w:val="center"/>
          </w:tcPr>
          <w:p>
            <w:pPr>
              <w:spacing w:after="0" w:line="252" w:lineRule="auto"/>
              <w:jc w:val="left"/>
            </w:pPr>
            <w:r>
              <w:rPr>
                <w:rFonts w:ascii="Arial" w:hAnsi="Arial" w:eastAsia="Microsoft YaHei"/>
                <w:b w:val="0"/>
                <w:i w:val="0"/>
                <w:color w:val="1A1A1A"/>
                <w:sz w:val="16"/>
              </w:rPr>
              <w:t>数据最小化</w:t>
            </w:r>
          </w:p>
        </w:tc>
        <w:tc>
          <w:tcPr>
            <w:tcW w:type="dxa" w:w="3300"/>
            <w:vAlign w:val="center"/>
          </w:tcPr>
          <w:p>
            <w:pPr>
              <w:spacing w:after="0" w:line="252" w:lineRule="auto"/>
              <w:jc w:val="left"/>
            </w:pPr>
            <w:r>
              <w:rPr>
                <w:rFonts w:ascii="Arial" w:hAnsi="Arial" w:eastAsia="Microsoft YaHei"/>
                <w:b w:val="0"/>
                <w:i w:val="0"/>
                <w:color w:val="1A1A1A"/>
                <w:sz w:val="16"/>
              </w:rPr>
              <w:t>只发送本次任务所需字段，敏感标识可脱敏</w:t>
            </w:r>
          </w:p>
        </w:tc>
        <w:tc>
          <w:tcPr>
            <w:tcW w:type="dxa" w:w="2710"/>
            <w:vAlign w:val="center"/>
          </w:tcPr>
          <w:p>
            <w:pPr>
              <w:spacing w:after="0" w:line="252" w:lineRule="auto"/>
              <w:jc w:val="left"/>
            </w:pPr>
            <w:r>
              <w:rPr>
                <w:rFonts w:ascii="Arial" w:hAnsi="Arial" w:eastAsia="Microsoft YaHei"/>
                <w:b w:val="0"/>
                <w:i w:val="0"/>
                <w:color w:val="1A1A1A"/>
                <w:sz w:val="16"/>
              </w:rPr>
              <w:t>审计可查看字段范围而非敏感正文</w:t>
            </w:r>
          </w:p>
        </w:tc>
      </w:tr>
      <w:tr>
        <w:tc>
          <w:tcPr>
            <w:tcW w:type="dxa" w:w="1050"/>
            <w:vAlign w:val="center"/>
          </w:tcPr>
          <w:p>
            <w:pPr>
              <w:spacing w:after="0" w:line="252" w:lineRule="auto"/>
              <w:jc w:val="left"/>
            </w:pPr>
            <w:r>
              <w:rPr>
                <w:rFonts w:ascii="Arial" w:hAnsi="Arial" w:eastAsia="Microsoft YaHei"/>
                <w:b w:val="0"/>
                <w:i w:val="0"/>
                <w:color w:val="1A1A1A"/>
                <w:sz w:val="16"/>
              </w:rPr>
              <w:t>FR-P0-06</w:t>
            </w:r>
          </w:p>
        </w:tc>
        <w:tc>
          <w:tcPr>
            <w:tcW w:type="dxa" w:w="2300"/>
            <w:vAlign w:val="center"/>
          </w:tcPr>
          <w:p>
            <w:pPr>
              <w:spacing w:after="0" w:line="252" w:lineRule="auto"/>
              <w:jc w:val="left"/>
            </w:pPr>
            <w:r>
              <w:rPr>
                <w:rFonts w:ascii="Arial" w:hAnsi="Arial" w:eastAsia="Microsoft YaHei"/>
                <w:b w:val="0"/>
                <w:i w:val="0"/>
                <w:color w:val="1A1A1A"/>
                <w:sz w:val="16"/>
              </w:rPr>
              <w:t>机构级数据隔离</w:t>
            </w:r>
          </w:p>
        </w:tc>
        <w:tc>
          <w:tcPr>
            <w:tcW w:type="dxa" w:w="3300"/>
            <w:vAlign w:val="center"/>
          </w:tcPr>
          <w:p>
            <w:pPr>
              <w:spacing w:after="0" w:line="252" w:lineRule="auto"/>
              <w:jc w:val="left"/>
            </w:pPr>
            <w:r>
              <w:rPr>
                <w:rFonts w:ascii="Arial" w:hAnsi="Arial" w:eastAsia="Microsoft YaHei"/>
                <w:b w:val="0"/>
                <w:i w:val="0"/>
                <w:color w:val="1A1A1A"/>
                <w:sz w:val="16"/>
              </w:rPr>
              <w:t>备份、诊断、对话、任务均绑定 orgId</w:t>
            </w:r>
          </w:p>
        </w:tc>
        <w:tc>
          <w:tcPr>
            <w:tcW w:type="dxa" w:w="2710"/>
            <w:vAlign w:val="center"/>
          </w:tcPr>
          <w:p>
            <w:pPr>
              <w:spacing w:after="0" w:line="252" w:lineRule="auto"/>
              <w:jc w:val="left"/>
            </w:pPr>
            <w:r>
              <w:rPr>
                <w:rFonts w:ascii="Arial" w:hAnsi="Arial" w:eastAsia="Microsoft YaHei"/>
                <w:b w:val="0"/>
                <w:i w:val="0"/>
                <w:color w:val="1A1A1A"/>
                <w:sz w:val="16"/>
              </w:rPr>
              <w:t>跨机构读取和覆盖测试全部失败</w:t>
            </w:r>
          </w:p>
        </w:tc>
      </w:tr>
      <w:tr>
        <w:tc>
          <w:tcPr>
            <w:tcW w:type="dxa" w:w="1050"/>
            <w:vAlign w:val="center"/>
          </w:tcPr>
          <w:p>
            <w:pPr>
              <w:spacing w:after="0" w:line="252" w:lineRule="auto"/>
              <w:jc w:val="left"/>
            </w:pPr>
            <w:r>
              <w:rPr>
                <w:rFonts w:ascii="Arial" w:hAnsi="Arial" w:eastAsia="Microsoft YaHei"/>
                <w:b w:val="0"/>
                <w:i w:val="0"/>
                <w:color w:val="1A1A1A"/>
                <w:sz w:val="16"/>
              </w:rPr>
              <w:t>FR-P0-07</w:t>
            </w:r>
          </w:p>
        </w:tc>
        <w:tc>
          <w:tcPr>
            <w:tcW w:type="dxa" w:w="2300"/>
            <w:vAlign w:val="center"/>
          </w:tcPr>
          <w:p>
            <w:pPr>
              <w:spacing w:after="0" w:line="252" w:lineRule="auto"/>
              <w:jc w:val="left"/>
            </w:pPr>
            <w:r>
              <w:rPr>
                <w:rFonts w:ascii="Arial" w:hAnsi="Arial" w:eastAsia="Microsoft YaHei"/>
                <w:b w:val="0"/>
                <w:i w:val="0"/>
                <w:color w:val="1A1A1A"/>
                <w:sz w:val="16"/>
              </w:rPr>
              <w:t>可信代理边界</w:t>
            </w:r>
          </w:p>
        </w:tc>
        <w:tc>
          <w:tcPr>
            <w:tcW w:type="dxa" w:w="3300"/>
            <w:vAlign w:val="center"/>
          </w:tcPr>
          <w:p>
            <w:pPr>
              <w:spacing w:after="0" w:line="252" w:lineRule="auto"/>
              <w:jc w:val="left"/>
            </w:pPr>
            <w:r>
              <w:rPr>
                <w:rFonts w:ascii="Arial" w:hAnsi="Arial" w:eastAsia="Microsoft YaHei"/>
                <w:b w:val="0"/>
                <w:i w:val="0"/>
                <w:color w:val="1A1A1A"/>
                <w:sz w:val="16"/>
              </w:rPr>
              <w:t>应用只接受可信网关注入身份，外部不可直连</w:t>
            </w:r>
          </w:p>
        </w:tc>
        <w:tc>
          <w:tcPr>
            <w:tcW w:type="dxa" w:w="2710"/>
            <w:vAlign w:val="center"/>
          </w:tcPr>
          <w:p>
            <w:pPr>
              <w:spacing w:after="0" w:line="252" w:lineRule="auto"/>
              <w:jc w:val="left"/>
            </w:pPr>
            <w:r>
              <w:rPr>
                <w:rFonts w:ascii="Arial" w:hAnsi="Arial" w:eastAsia="Microsoft YaHei"/>
                <w:b w:val="0"/>
                <w:i w:val="0"/>
                <w:color w:val="1A1A1A"/>
                <w:sz w:val="16"/>
              </w:rPr>
              <w:t>伪造身份头无法获得权限</w:t>
            </w:r>
          </w:p>
        </w:tc>
      </w:tr>
    </w:tbl>
    <w:p>
      <w:pPr>
        <w:spacing w:after="0"/>
      </w:pPr>
    </w:p>
    <w:p>
      <w:pPr>
        <w:pStyle w:val="Heading2"/>
      </w:pPr>
      <w:r>
        <w:t>5.2 P1：智能体规划与工具调用</w:t>
      </w:r>
    </w:p>
    <w:tbl>
      <w:tblPr>
        <w:tblStyle w:val="TableGrid"/>
        <w:tblW w:type="dxa" w:w="9360"/>
        <w:jc w:val="left"/>
        <w:tblLayout w:type="fixed"/>
        <w:tblLook w:firstColumn="1" w:firstRow="1" w:lastColumn="0" w:lastRow="0" w:noHBand="0" w:noVBand="1" w:val="04A0"/>
        <w:tblInd w:w="120" w:type="dxa"/>
      </w:tblPr>
      <w:tblGrid>
        <w:gridCol w:w="1050"/>
        <w:gridCol w:w="2100"/>
        <w:gridCol w:w="3500"/>
        <w:gridCol w:w="2710"/>
      </w:tblGrid>
      <w:tr>
        <w:trPr>
          <w:tblHeader w:val="true"/>
        </w:trPr>
        <w:tc>
          <w:tcPr>
            <w:tcW w:type="dxa" w:w="105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编号</w:t>
            </w:r>
          </w:p>
        </w:tc>
        <w:tc>
          <w:tcPr>
            <w:tcW w:type="dxa" w:w="21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需求</w:t>
            </w:r>
          </w:p>
        </w:tc>
        <w:tc>
          <w:tcPr>
            <w:tcW w:type="dxa" w:w="35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说明</w:t>
            </w:r>
          </w:p>
        </w:tc>
        <w:tc>
          <w:tcPr>
            <w:tcW w:type="dxa" w:w="271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验收标准</w:t>
            </w:r>
          </w:p>
        </w:tc>
      </w:tr>
      <w:tr>
        <w:tc>
          <w:tcPr>
            <w:tcW w:type="dxa" w:w="1050"/>
            <w:vAlign w:val="center"/>
          </w:tcPr>
          <w:p>
            <w:pPr>
              <w:spacing w:after="0" w:line="252" w:lineRule="auto"/>
              <w:jc w:val="left"/>
            </w:pPr>
            <w:r>
              <w:rPr>
                <w:rFonts w:ascii="Arial" w:hAnsi="Arial" w:eastAsia="Microsoft YaHei"/>
                <w:b w:val="0"/>
                <w:i w:val="0"/>
                <w:color w:val="1A1A1A"/>
                <w:sz w:val="16"/>
              </w:rPr>
              <w:t>FR-P1-01</w:t>
            </w:r>
          </w:p>
        </w:tc>
        <w:tc>
          <w:tcPr>
            <w:tcW w:type="dxa" w:w="2100"/>
            <w:vAlign w:val="center"/>
          </w:tcPr>
          <w:p>
            <w:pPr>
              <w:spacing w:after="0" w:line="252" w:lineRule="auto"/>
              <w:jc w:val="left"/>
            </w:pPr>
            <w:r>
              <w:rPr>
                <w:rFonts w:ascii="Arial" w:hAnsi="Arial" w:eastAsia="Microsoft YaHei"/>
                <w:b w:val="0"/>
                <w:i w:val="0"/>
                <w:color w:val="1A1A1A"/>
                <w:sz w:val="16"/>
              </w:rPr>
              <w:t>目标解析器</w:t>
            </w:r>
          </w:p>
        </w:tc>
        <w:tc>
          <w:tcPr>
            <w:tcW w:type="dxa" w:w="3500"/>
            <w:vAlign w:val="center"/>
          </w:tcPr>
          <w:p>
            <w:pPr>
              <w:spacing w:after="0" w:line="252" w:lineRule="auto"/>
              <w:jc w:val="left"/>
            </w:pPr>
            <w:r>
              <w:rPr>
                <w:rFonts w:ascii="Arial" w:hAnsi="Arial" w:eastAsia="Microsoft YaHei"/>
                <w:b w:val="0"/>
                <w:i w:val="0"/>
                <w:color w:val="1A1A1A"/>
                <w:sz w:val="16"/>
              </w:rPr>
              <w:t>将自然语言转为机构、周期、指标、任务类型和约束</w:t>
            </w:r>
          </w:p>
        </w:tc>
        <w:tc>
          <w:tcPr>
            <w:tcW w:type="dxa" w:w="2710"/>
            <w:vAlign w:val="center"/>
          </w:tcPr>
          <w:p>
            <w:pPr>
              <w:spacing w:after="0" w:line="252" w:lineRule="auto"/>
              <w:jc w:val="left"/>
            </w:pPr>
            <w:r>
              <w:rPr>
                <w:rFonts w:ascii="Arial" w:hAnsi="Arial" w:eastAsia="Microsoft YaHei"/>
                <w:b w:val="0"/>
                <w:i w:val="0"/>
                <w:color w:val="1A1A1A"/>
                <w:sz w:val="16"/>
              </w:rPr>
              <w:t>标准场景解析准确率 ≥ 95%</w:t>
            </w:r>
          </w:p>
        </w:tc>
      </w:tr>
      <w:tr>
        <w:tc>
          <w:tcPr>
            <w:tcW w:type="dxa" w:w="1050"/>
            <w:vAlign w:val="center"/>
          </w:tcPr>
          <w:p>
            <w:pPr>
              <w:spacing w:after="0" w:line="252" w:lineRule="auto"/>
              <w:jc w:val="left"/>
            </w:pPr>
            <w:r>
              <w:rPr>
                <w:rFonts w:ascii="Arial" w:hAnsi="Arial" w:eastAsia="Microsoft YaHei"/>
                <w:b w:val="0"/>
                <w:i w:val="0"/>
                <w:color w:val="1A1A1A"/>
                <w:sz w:val="16"/>
              </w:rPr>
              <w:t>FR-P1-02</w:t>
            </w:r>
          </w:p>
        </w:tc>
        <w:tc>
          <w:tcPr>
            <w:tcW w:type="dxa" w:w="2100"/>
            <w:vAlign w:val="center"/>
          </w:tcPr>
          <w:p>
            <w:pPr>
              <w:spacing w:after="0" w:line="252" w:lineRule="auto"/>
              <w:jc w:val="left"/>
            </w:pPr>
            <w:r>
              <w:rPr>
                <w:rFonts w:ascii="Arial" w:hAnsi="Arial" w:eastAsia="Microsoft YaHei"/>
                <w:b w:val="0"/>
                <w:i w:val="0"/>
                <w:color w:val="1A1A1A"/>
                <w:sz w:val="16"/>
              </w:rPr>
              <w:t>分析计划器</w:t>
            </w:r>
          </w:p>
        </w:tc>
        <w:tc>
          <w:tcPr>
            <w:tcW w:type="dxa" w:w="3500"/>
            <w:vAlign w:val="center"/>
          </w:tcPr>
          <w:p>
            <w:pPr>
              <w:spacing w:after="0" w:line="252" w:lineRule="auto"/>
              <w:jc w:val="left"/>
            </w:pPr>
            <w:r>
              <w:rPr>
                <w:rFonts w:ascii="Arial" w:hAnsi="Arial" w:eastAsia="Microsoft YaHei"/>
                <w:b w:val="0"/>
                <w:i w:val="0"/>
                <w:color w:val="1A1A1A"/>
                <w:sz w:val="16"/>
              </w:rPr>
              <w:t>生成 1–6 个可执行步骤，支持跳过、失败和重试</w:t>
            </w:r>
          </w:p>
        </w:tc>
        <w:tc>
          <w:tcPr>
            <w:tcW w:type="dxa" w:w="2710"/>
            <w:vAlign w:val="center"/>
          </w:tcPr>
          <w:p>
            <w:pPr>
              <w:spacing w:after="0" w:line="252" w:lineRule="auto"/>
              <w:jc w:val="left"/>
            </w:pPr>
            <w:r>
              <w:rPr>
                <w:rFonts w:ascii="Arial" w:hAnsi="Arial" w:eastAsia="Microsoft YaHei"/>
                <w:b w:val="0"/>
                <w:i w:val="0"/>
                <w:color w:val="1A1A1A"/>
                <w:sz w:val="16"/>
              </w:rPr>
              <w:t>每一步均有状态和工具绑定</w:t>
            </w:r>
          </w:p>
        </w:tc>
      </w:tr>
      <w:tr>
        <w:tc>
          <w:tcPr>
            <w:tcW w:type="dxa" w:w="1050"/>
            <w:vAlign w:val="center"/>
          </w:tcPr>
          <w:p>
            <w:pPr>
              <w:spacing w:after="0" w:line="252" w:lineRule="auto"/>
              <w:jc w:val="left"/>
            </w:pPr>
            <w:r>
              <w:rPr>
                <w:rFonts w:ascii="Arial" w:hAnsi="Arial" w:eastAsia="Microsoft YaHei"/>
                <w:b w:val="0"/>
                <w:i w:val="0"/>
                <w:color w:val="1A1A1A"/>
                <w:sz w:val="16"/>
              </w:rPr>
              <w:t>FR-P1-03</w:t>
            </w:r>
          </w:p>
        </w:tc>
        <w:tc>
          <w:tcPr>
            <w:tcW w:type="dxa" w:w="2100"/>
            <w:vAlign w:val="center"/>
          </w:tcPr>
          <w:p>
            <w:pPr>
              <w:spacing w:after="0" w:line="252" w:lineRule="auto"/>
              <w:jc w:val="left"/>
            </w:pPr>
            <w:r>
              <w:rPr>
                <w:rFonts w:ascii="Arial" w:hAnsi="Arial" w:eastAsia="Microsoft YaHei"/>
                <w:b w:val="0"/>
                <w:i w:val="0"/>
                <w:color w:val="1A1A1A"/>
                <w:sz w:val="16"/>
              </w:rPr>
              <w:t>工具注册中心</w:t>
            </w:r>
          </w:p>
        </w:tc>
        <w:tc>
          <w:tcPr>
            <w:tcW w:type="dxa" w:w="3500"/>
            <w:vAlign w:val="center"/>
          </w:tcPr>
          <w:p>
            <w:pPr>
              <w:spacing w:after="0" w:line="252" w:lineRule="auto"/>
              <w:jc w:val="left"/>
            </w:pPr>
            <w:r>
              <w:rPr>
                <w:rFonts w:ascii="Arial" w:hAnsi="Arial" w:eastAsia="Microsoft YaHei"/>
                <w:b w:val="0"/>
                <w:i w:val="0"/>
                <w:color w:val="1A1A1A"/>
                <w:sz w:val="16"/>
              </w:rPr>
              <w:t>统一注册指标、趋势、对标、证据、诊断、任务和复盘工具</w:t>
            </w:r>
          </w:p>
        </w:tc>
        <w:tc>
          <w:tcPr>
            <w:tcW w:type="dxa" w:w="2710"/>
            <w:vAlign w:val="center"/>
          </w:tcPr>
          <w:p>
            <w:pPr>
              <w:spacing w:after="0" w:line="252" w:lineRule="auto"/>
              <w:jc w:val="left"/>
            </w:pPr>
            <w:r>
              <w:rPr>
                <w:rFonts w:ascii="Arial" w:hAnsi="Arial" w:eastAsia="Microsoft YaHei"/>
                <w:b w:val="0"/>
                <w:i w:val="0"/>
                <w:color w:val="1A1A1A"/>
                <w:sz w:val="16"/>
              </w:rPr>
              <w:t>模型只能调用白名单工具</w:t>
            </w:r>
          </w:p>
        </w:tc>
      </w:tr>
      <w:tr>
        <w:tc>
          <w:tcPr>
            <w:tcW w:type="dxa" w:w="1050"/>
            <w:vAlign w:val="center"/>
          </w:tcPr>
          <w:p>
            <w:pPr>
              <w:spacing w:after="0" w:line="252" w:lineRule="auto"/>
              <w:jc w:val="left"/>
            </w:pPr>
            <w:r>
              <w:rPr>
                <w:rFonts w:ascii="Arial" w:hAnsi="Arial" w:eastAsia="Microsoft YaHei"/>
                <w:b w:val="0"/>
                <w:i w:val="0"/>
                <w:color w:val="1A1A1A"/>
                <w:sz w:val="16"/>
              </w:rPr>
              <w:t>FR-P1-04</w:t>
            </w:r>
          </w:p>
        </w:tc>
        <w:tc>
          <w:tcPr>
            <w:tcW w:type="dxa" w:w="2100"/>
            <w:vAlign w:val="center"/>
          </w:tcPr>
          <w:p>
            <w:pPr>
              <w:spacing w:after="0" w:line="252" w:lineRule="auto"/>
              <w:jc w:val="left"/>
            </w:pPr>
            <w:r>
              <w:rPr>
                <w:rFonts w:ascii="Arial" w:hAnsi="Arial" w:eastAsia="Microsoft YaHei"/>
                <w:b w:val="0"/>
                <w:i w:val="0"/>
                <w:color w:val="1A1A1A"/>
                <w:sz w:val="16"/>
              </w:rPr>
              <w:t>确定性计算优先</w:t>
            </w:r>
          </w:p>
        </w:tc>
        <w:tc>
          <w:tcPr>
            <w:tcW w:type="dxa" w:w="3500"/>
            <w:vAlign w:val="center"/>
          </w:tcPr>
          <w:p>
            <w:pPr>
              <w:spacing w:after="0" w:line="252" w:lineRule="auto"/>
              <w:jc w:val="left"/>
            </w:pPr>
            <w:r>
              <w:rPr>
                <w:rFonts w:ascii="Arial" w:hAnsi="Arial" w:eastAsia="Microsoft YaHei"/>
                <w:b w:val="0"/>
                <w:i w:val="0"/>
                <w:color w:val="1A1A1A"/>
                <w:sz w:val="16"/>
              </w:rPr>
              <w:t>数字、排名、变化率必须由工具计算，不由模型心算</w:t>
            </w:r>
          </w:p>
        </w:tc>
        <w:tc>
          <w:tcPr>
            <w:tcW w:type="dxa" w:w="2710"/>
            <w:vAlign w:val="center"/>
          </w:tcPr>
          <w:p>
            <w:pPr>
              <w:spacing w:after="0" w:line="252" w:lineRule="auto"/>
              <w:jc w:val="left"/>
            </w:pPr>
            <w:r>
              <w:rPr>
                <w:rFonts w:ascii="Arial" w:hAnsi="Arial" w:eastAsia="Microsoft YaHei"/>
                <w:b w:val="0"/>
                <w:i w:val="0"/>
                <w:color w:val="1A1A1A"/>
                <w:sz w:val="16"/>
              </w:rPr>
              <w:t>随机抽样数字一致率 100%</w:t>
            </w:r>
          </w:p>
        </w:tc>
      </w:tr>
      <w:tr>
        <w:tc>
          <w:tcPr>
            <w:tcW w:type="dxa" w:w="1050"/>
            <w:vAlign w:val="center"/>
          </w:tcPr>
          <w:p>
            <w:pPr>
              <w:spacing w:after="0" w:line="252" w:lineRule="auto"/>
              <w:jc w:val="left"/>
            </w:pPr>
            <w:r>
              <w:rPr>
                <w:rFonts w:ascii="Arial" w:hAnsi="Arial" w:eastAsia="Microsoft YaHei"/>
                <w:b w:val="0"/>
                <w:i w:val="0"/>
                <w:color w:val="1A1A1A"/>
                <w:sz w:val="16"/>
              </w:rPr>
              <w:t>FR-P1-05</w:t>
            </w:r>
          </w:p>
        </w:tc>
        <w:tc>
          <w:tcPr>
            <w:tcW w:type="dxa" w:w="2100"/>
            <w:vAlign w:val="center"/>
          </w:tcPr>
          <w:p>
            <w:pPr>
              <w:spacing w:after="0" w:line="252" w:lineRule="auto"/>
              <w:jc w:val="left"/>
            </w:pPr>
            <w:r>
              <w:rPr>
                <w:rFonts w:ascii="Arial" w:hAnsi="Arial" w:eastAsia="Microsoft YaHei"/>
                <w:b w:val="0"/>
                <w:i w:val="0"/>
                <w:color w:val="1A1A1A"/>
                <w:sz w:val="16"/>
              </w:rPr>
              <w:t>信息缺口处理</w:t>
            </w:r>
          </w:p>
        </w:tc>
        <w:tc>
          <w:tcPr>
            <w:tcW w:type="dxa" w:w="3500"/>
            <w:vAlign w:val="center"/>
          </w:tcPr>
          <w:p>
            <w:pPr>
              <w:spacing w:after="0" w:line="252" w:lineRule="auto"/>
              <w:jc w:val="left"/>
            </w:pPr>
            <w:r>
              <w:rPr>
                <w:rFonts w:ascii="Arial" w:hAnsi="Arial" w:eastAsia="Microsoft YaHei"/>
                <w:b w:val="0"/>
                <w:i w:val="0"/>
                <w:color w:val="1A1A1A"/>
                <w:sz w:val="16"/>
              </w:rPr>
              <w:t>证据不足时先提问或说明限制，不强行结论</w:t>
            </w:r>
          </w:p>
        </w:tc>
        <w:tc>
          <w:tcPr>
            <w:tcW w:type="dxa" w:w="2710"/>
            <w:vAlign w:val="center"/>
          </w:tcPr>
          <w:p>
            <w:pPr>
              <w:spacing w:after="0" w:line="252" w:lineRule="auto"/>
              <w:jc w:val="left"/>
            </w:pPr>
            <w:r>
              <w:rPr>
                <w:rFonts w:ascii="Arial" w:hAnsi="Arial" w:eastAsia="Microsoft YaHei"/>
                <w:b w:val="0"/>
                <w:i w:val="0"/>
                <w:color w:val="1A1A1A"/>
                <w:sz w:val="16"/>
              </w:rPr>
              <w:t>缺失数据场景无编造结论</w:t>
            </w:r>
          </w:p>
        </w:tc>
      </w:tr>
      <w:tr>
        <w:tc>
          <w:tcPr>
            <w:tcW w:type="dxa" w:w="1050"/>
            <w:vAlign w:val="center"/>
          </w:tcPr>
          <w:p>
            <w:pPr>
              <w:spacing w:after="0" w:line="252" w:lineRule="auto"/>
              <w:jc w:val="left"/>
            </w:pPr>
            <w:r>
              <w:rPr>
                <w:rFonts w:ascii="Arial" w:hAnsi="Arial" w:eastAsia="Microsoft YaHei"/>
                <w:b w:val="0"/>
                <w:i w:val="0"/>
                <w:color w:val="1A1A1A"/>
                <w:sz w:val="16"/>
              </w:rPr>
              <w:t>FR-P1-06</w:t>
            </w:r>
          </w:p>
        </w:tc>
        <w:tc>
          <w:tcPr>
            <w:tcW w:type="dxa" w:w="2100"/>
            <w:vAlign w:val="center"/>
          </w:tcPr>
          <w:p>
            <w:pPr>
              <w:spacing w:after="0" w:line="252" w:lineRule="auto"/>
              <w:jc w:val="left"/>
            </w:pPr>
            <w:r>
              <w:rPr>
                <w:rFonts w:ascii="Arial" w:hAnsi="Arial" w:eastAsia="Microsoft YaHei"/>
                <w:b w:val="0"/>
                <w:i w:val="0"/>
                <w:color w:val="1A1A1A"/>
                <w:sz w:val="16"/>
              </w:rPr>
              <w:t>执行状态机</w:t>
            </w:r>
          </w:p>
        </w:tc>
        <w:tc>
          <w:tcPr>
            <w:tcW w:type="dxa" w:w="3500"/>
            <w:vAlign w:val="center"/>
          </w:tcPr>
          <w:p>
            <w:pPr>
              <w:spacing w:after="0" w:line="252" w:lineRule="auto"/>
              <w:jc w:val="left"/>
            </w:pPr>
            <w:r>
              <w:rPr>
                <w:rFonts w:ascii="Arial" w:hAnsi="Arial" w:eastAsia="Microsoft YaHei"/>
                <w:b w:val="0"/>
                <w:i w:val="0"/>
                <w:color w:val="1A1A1A"/>
                <w:sz w:val="16"/>
              </w:rPr>
              <w:t>planned/running/waiting_user/failed/completed/cancelled</w:t>
            </w:r>
          </w:p>
        </w:tc>
        <w:tc>
          <w:tcPr>
            <w:tcW w:type="dxa" w:w="2710"/>
            <w:vAlign w:val="center"/>
          </w:tcPr>
          <w:p>
            <w:pPr>
              <w:spacing w:after="0" w:line="252" w:lineRule="auto"/>
              <w:jc w:val="left"/>
            </w:pPr>
            <w:r>
              <w:rPr>
                <w:rFonts w:ascii="Arial" w:hAnsi="Arial" w:eastAsia="Microsoft YaHei"/>
                <w:b w:val="0"/>
                <w:i w:val="0"/>
                <w:color w:val="1A1A1A"/>
                <w:sz w:val="16"/>
              </w:rPr>
              <w:t>中断后可恢复且不重复写入</w:t>
            </w:r>
          </w:p>
        </w:tc>
      </w:tr>
      <w:tr>
        <w:tc>
          <w:tcPr>
            <w:tcW w:type="dxa" w:w="1050"/>
            <w:vAlign w:val="center"/>
          </w:tcPr>
          <w:p>
            <w:pPr>
              <w:spacing w:after="0" w:line="252" w:lineRule="auto"/>
              <w:jc w:val="left"/>
            </w:pPr>
            <w:r>
              <w:rPr>
                <w:rFonts w:ascii="Arial" w:hAnsi="Arial" w:eastAsia="Microsoft YaHei"/>
                <w:b w:val="0"/>
                <w:i w:val="0"/>
                <w:color w:val="1A1A1A"/>
                <w:sz w:val="16"/>
              </w:rPr>
              <w:t>FR-P1-07</w:t>
            </w:r>
          </w:p>
        </w:tc>
        <w:tc>
          <w:tcPr>
            <w:tcW w:type="dxa" w:w="2100"/>
            <w:vAlign w:val="center"/>
          </w:tcPr>
          <w:p>
            <w:pPr>
              <w:spacing w:after="0" w:line="252" w:lineRule="auto"/>
              <w:jc w:val="left"/>
            </w:pPr>
            <w:r>
              <w:rPr>
                <w:rFonts w:ascii="Arial" w:hAnsi="Arial" w:eastAsia="Microsoft YaHei"/>
                <w:b w:val="0"/>
                <w:i w:val="0"/>
                <w:color w:val="1A1A1A"/>
                <w:sz w:val="16"/>
              </w:rPr>
              <w:t>结果合成器</w:t>
            </w:r>
          </w:p>
        </w:tc>
        <w:tc>
          <w:tcPr>
            <w:tcW w:type="dxa" w:w="3500"/>
            <w:vAlign w:val="center"/>
          </w:tcPr>
          <w:p>
            <w:pPr>
              <w:spacing w:after="0" w:line="252" w:lineRule="auto"/>
              <w:jc w:val="left"/>
            </w:pPr>
            <w:r>
              <w:rPr>
                <w:rFonts w:ascii="Arial" w:hAnsi="Arial" w:eastAsia="Microsoft YaHei"/>
                <w:b w:val="0"/>
                <w:i w:val="0"/>
                <w:color w:val="1A1A1A"/>
                <w:sz w:val="16"/>
              </w:rPr>
              <w:t>输出事实、推断、建议、限制和证据</w:t>
            </w:r>
          </w:p>
        </w:tc>
        <w:tc>
          <w:tcPr>
            <w:tcW w:type="dxa" w:w="2710"/>
            <w:vAlign w:val="center"/>
          </w:tcPr>
          <w:p>
            <w:pPr>
              <w:spacing w:after="0" w:line="252" w:lineRule="auto"/>
              <w:jc w:val="left"/>
            </w:pPr>
            <w:r>
              <w:rPr>
                <w:rFonts w:ascii="Arial" w:hAnsi="Arial" w:eastAsia="Microsoft YaHei"/>
                <w:b w:val="0"/>
                <w:i w:val="0"/>
                <w:color w:val="1A1A1A"/>
                <w:sz w:val="16"/>
              </w:rPr>
              <w:t>所有事实与建议满足 Schema</w:t>
            </w:r>
          </w:p>
        </w:tc>
      </w:tr>
    </w:tbl>
    <w:p>
      <w:pPr>
        <w:spacing w:after="0"/>
      </w:pPr>
    </w:p>
    <w:p>
      <w:pPr>
        <w:pStyle w:val="Heading2"/>
      </w:pPr>
      <w:r>
        <w:t>5.3 P1：整改与复盘闭环增强</w:t>
      </w:r>
    </w:p>
    <w:p>
      <w:pPr>
        <w:spacing w:after="80"/>
        <w:numPr>
          <w:ilvl w:val="0"/>
          <w:numId w:val="41"/>
        </w:numPr>
      </w:pPr>
      <w:r>
        <w:rPr>
          <w:rFonts w:ascii="Arial" w:hAnsi="Arial" w:eastAsia="Microsoft YaHei"/>
          <w:b w:val="0"/>
          <w:i w:val="0"/>
          <w:color w:val="1A1A1A"/>
          <w:sz w:val="21"/>
        </w:rPr>
        <w:t>每条建议必须绑定 recommendationId、metricId、改善方向、证据 IDs、建议动作和建议周期。</w:t>
      </w:r>
    </w:p>
    <w:p>
      <w:pPr>
        <w:spacing w:after="80"/>
        <w:numPr>
          <w:ilvl w:val="0"/>
          <w:numId w:val="41"/>
        </w:numPr>
      </w:pPr>
      <w:r>
        <w:rPr>
          <w:rFonts w:ascii="Arial" w:hAnsi="Arial" w:eastAsia="Microsoft YaHei"/>
          <w:b w:val="0"/>
          <w:i w:val="0"/>
          <w:color w:val="1A1A1A"/>
          <w:sz w:val="21"/>
        </w:rPr>
        <w:t>创建整改任务前必须由用户确认责任部门、责任人、截止日期和目标值。</w:t>
      </w:r>
    </w:p>
    <w:p>
      <w:pPr>
        <w:spacing w:after="80"/>
        <w:numPr>
          <w:ilvl w:val="0"/>
          <w:numId w:val="41"/>
        </w:numPr>
      </w:pPr>
      <w:r>
        <w:rPr>
          <w:rFonts w:ascii="Arial" w:hAnsi="Arial" w:eastAsia="Microsoft YaHei"/>
          <w:b w:val="0"/>
          <w:i w:val="0"/>
          <w:color w:val="1A1A1A"/>
          <w:sz w:val="21"/>
        </w:rPr>
        <w:t>任务状态继续采用 draft → confirmed → in_progress → completed → closed，禁止跨级流转。</w:t>
      </w:r>
    </w:p>
    <w:p>
      <w:pPr>
        <w:spacing w:after="80"/>
        <w:numPr>
          <w:ilvl w:val="0"/>
          <w:numId w:val="41"/>
        </w:numPr>
      </w:pPr>
      <w:r>
        <w:rPr>
          <w:rFonts w:ascii="Arial" w:hAnsi="Arial" w:eastAsia="Microsoft YaHei"/>
          <w:b w:val="0"/>
          <w:i w:val="0"/>
          <w:color w:val="1A1A1A"/>
          <w:sz w:val="21"/>
        </w:rPr>
        <w:t>复盘必须比较初始值、当前值、目标距离、对标变化和排名变化。</w:t>
      </w:r>
    </w:p>
    <w:p>
      <w:pPr>
        <w:spacing w:after="80"/>
        <w:numPr>
          <w:ilvl w:val="0"/>
          <w:numId w:val="41"/>
        </w:numPr>
      </w:pPr>
      <w:r>
        <w:rPr>
          <w:rFonts w:ascii="Arial" w:hAnsi="Arial" w:eastAsia="Microsoft YaHei"/>
          <w:b w:val="0"/>
          <w:i w:val="0"/>
          <w:color w:val="1A1A1A"/>
          <w:sz w:val="21"/>
        </w:rPr>
        <w:t>复盘输出必须明确“指标相关性不等于措施因果性”。</w:t>
      </w:r>
    </w:p>
    <w:p>
      <w:pPr>
        <w:pStyle w:val="Heading2"/>
      </w:pPr>
      <w:r>
        <w:t>5.4 P1：受控记忆</w:t>
      </w:r>
    </w:p>
    <w:tbl>
      <w:tblPr>
        <w:tblStyle w:val="TableGrid"/>
        <w:tblW w:type="dxa" w:w="9360"/>
        <w:jc w:val="left"/>
        <w:tblLayout w:type="fixed"/>
        <w:tblLook w:firstColumn="1" w:firstRow="1" w:lastColumn="0" w:lastRow="0" w:noHBand="0" w:noVBand="1" w:val="04A0"/>
        <w:tblInd w:w="120" w:type="dxa"/>
      </w:tblPr>
      <w:tblGrid>
        <w:gridCol w:w="1700"/>
        <w:gridCol w:w="3000"/>
        <w:gridCol w:w="2600"/>
        <w:gridCol w:w="2060"/>
      </w:tblGrid>
      <w:tr>
        <w:trPr>
          <w:tblHeader w:val="true"/>
        </w:trPr>
        <w:tc>
          <w:tcPr>
            <w:tcW w:type="dxa" w:w="17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记忆类型</w:t>
            </w:r>
          </w:p>
        </w:tc>
        <w:tc>
          <w:tcPr>
            <w:tcW w:type="dxa" w:w="30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保存内容</w:t>
            </w:r>
          </w:p>
        </w:tc>
        <w:tc>
          <w:tcPr>
            <w:tcW w:type="dxa" w:w="26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禁止内容</w:t>
            </w:r>
          </w:p>
        </w:tc>
        <w:tc>
          <w:tcPr>
            <w:tcW w:type="dxa" w:w="206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使用方式</w:t>
            </w:r>
          </w:p>
        </w:tc>
      </w:tr>
      <w:tr>
        <w:tc>
          <w:tcPr>
            <w:tcW w:type="dxa" w:w="1700"/>
            <w:vAlign w:val="center"/>
          </w:tcPr>
          <w:p>
            <w:pPr>
              <w:spacing w:after="0" w:line="252" w:lineRule="auto"/>
              <w:jc w:val="left"/>
            </w:pPr>
            <w:r>
              <w:rPr>
                <w:rFonts w:ascii="Arial" w:hAnsi="Arial" w:eastAsia="Microsoft YaHei"/>
                <w:b w:val="0"/>
                <w:i w:val="0"/>
                <w:color w:val="1A1A1A"/>
                <w:sz w:val="17"/>
              </w:rPr>
              <w:t>会话记忆</w:t>
            </w:r>
          </w:p>
        </w:tc>
        <w:tc>
          <w:tcPr>
            <w:tcW w:type="dxa" w:w="3000"/>
            <w:vAlign w:val="center"/>
          </w:tcPr>
          <w:p>
            <w:pPr>
              <w:spacing w:after="0" w:line="252" w:lineRule="auto"/>
              <w:jc w:val="left"/>
            </w:pPr>
            <w:r>
              <w:rPr>
                <w:rFonts w:ascii="Arial" w:hAnsi="Arial" w:eastAsia="Microsoft YaHei"/>
                <w:b w:val="0"/>
                <w:i w:val="0"/>
                <w:color w:val="1A1A1A"/>
                <w:sz w:val="17"/>
              </w:rPr>
              <w:t>当前问题、计划、工具结果</w:t>
            </w:r>
          </w:p>
        </w:tc>
        <w:tc>
          <w:tcPr>
            <w:tcW w:type="dxa" w:w="2600"/>
            <w:vAlign w:val="center"/>
          </w:tcPr>
          <w:p>
            <w:pPr>
              <w:spacing w:after="0" w:line="252" w:lineRule="auto"/>
              <w:jc w:val="left"/>
            </w:pPr>
            <w:r>
              <w:rPr>
                <w:rFonts w:ascii="Arial" w:hAnsi="Arial" w:eastAsia="Microsoft YaHei"/>
                <w:b w:val="0"/>
                <w:i w:val="0"/>
                <w:color w:val="1A1A1A"/>
                <w:sz w:val="17"/>
              </w:rPr>
              <w:t>API Key、原始敏感凭证</w:t>
            </w:r>
          </w:p>
        </w:tc>
        <w:tc>
          <w:tcPr>
            <w:tcW w:type="dxa" w:w="2060"/>
            <w:vAlign w:val="center"/>
          </w:tcPr>
          <w:p>
            <w:pPr>
              <w:spacing w:after="0" w:line="252" w:lineRule="auto"/>
              <w:jc w:val="left"/>
            </w:pPr>
            <w:r>
              <w:rPr>
                <w:rFonts w:ascii="Arial" w:hAnsi="Arial" w:eastAsia="Microsoft YaHei"/>
                <w:b w:val="0"/>
                <w:i w:val="0"/>
                <w:color w:val="1A1A1A"/>
                <w:sz w:val="17"/>
              </w:rPr>
              <w:t>本次执行上下文</w:t>
            </w:r>
          </w:p>
        </w:tc>
      </w:tr>
      <w:tr>
        <w:tc>
          <w:tcPr>
            <w:tcW w:type="dxa" w:w="1700"/>
            <w:vAlign w:val="center"/>
          </w:tcPr>
          <w:p>
            <w:pPr>
              <w:spacing w:after="0" w:line="252" w:lineRule="auto"/>
              <w:jc w:val="left"/>
            </w:pPr>
            <w:r>
              <w:rPr>
                <w:rFonts w:ascii="Arial" w:hAnsi="Arial" w:eastAsia="Microsoft YaHei"/>
                <w:b w:val="0"/>
                <w:i w:val="0"/>
                <w:color w:val="1A1A1A"/>
                <w:sz w:val="17"/>
              </w:rPr>
              <w:t>机构记忆</w:t>
            </w:r>
          </w:p>
        </w:tc>
        <w:tc>
          <w:tcPr>
            <w:tcW w:type="dxa" w:w="3000"/>
            <w:vAlign w:val="center"/>
          </w:tcPr>
          <w:p>
            <w:pPr>
              <w:spacing w:after="0" w:line="252" w:lineRule="auto"/>
              <w:jc w:val="left"/>
            </w:pPr>
            <w:r>
              <w:rPr>
                <w:rFonts w:ascii="Arial" w:hAnsi="Arial" w:eastAsia="Microsoft YaHei"/>
                <w:b w:val="0"/>
                <w:i w:val="0"/>
                <w:color w:val="1A1A1A"/>
                <w:sz w:val="17"/>
              </w:rPr>
              <w:t>已确认口径、历史诊断和整改状态</w:t>
            </w:r>
          </w:p>
        </w:tc>
        <w:tc>
          <w:tcPr>
            <w:tcW w:type="dxa" w:w="2600"/>
            <w:vAlign w:val="center"/>
          </w:tcPr>
          <w:p>
            <w:pPr>
              <w:spacing w:after="0" w:line="252" w:lineRule="auto"/>
              <w:jc w:val="left"/>
            </w:pPr>
            <w:r>
              <w:rPr>
                <w:rFonts w:ascii="Arial" w:hAnsi="Arial" w:eastAsia="Microsoft YaHei"/>
                <w:b w:val="0"/>
                <w:i w:val="0"/>
                <w:color w:val="1A1A1A"/>
                <w:sz w:val="17"/>
              </w:rPr>
              <w:t>未经授权的其他机构信息</w:t>
            </w:r>
          </w:p>
        </w:tc>
        <w:tc>
          <w:tcPr>
            <w:tcW w:type="dxa" w:w="2060"/>
            <w:vAlign w:val="center"/>
          </w:tcPr>
          <w:p>
            <w:pPr>
              <w:spacing w:after="0" w:line="252" w:lineRule="auto"/>
              <w:jc w:val="left"/>
            </w:pPr>
            <w:r>
              <w:rPr>
                <w:rFonts w:ascii="Arial" w:hAnsi="Arial" w:eastAsia="Microsoft YaHei"/>
                <w:b w:val="0"/>
                <w:i w:val="0"/>
                <w:color w:val="1A1A1A"/>
                <w:sz w:val="17"/>
              </w:rPr>
              <w:t>跨周期连续分析</w:t>
            </w:r>
          </w:p>
        </w:tc>
      </w:tr>
      <w:tr>
        <w:tc>
          <w:tcPr>
            <w:tcW w:type="dxa" w:w="1700"/>
            <w:vAlign w:val="center"/>
          </w:tcPr>
          <w:p>
            <w:pPr>
              <w:spacing w:after="0" w:line="252" w:lineRule="auto"/>
              <w:jc w:val="left"/>
            </w:pPr>
            <w:r>
              <w:rPr>
                <w:rFonts w:ascii="Arial" w:hAnsi="Arial" w:eastAsia="Microsoft YaHei"/>
                <w:b w:val="0"/>
                <w:i w:val="0"/>
                <w:color w:val="1A1A1A"/>
                <w:sz w:val="17"/>
              </w:rPr>
              <w:t>用户偏好</w:t>
            </w:r>
          </w:p>
        </w:tc>
        <w:tc>
          <w:tcPr>
            <w:tcW w:type="dxa" w:w="3000"/>
            <w:vAlign w:val="center"/>
          </w:tcPr>
          <w:p>
            <w:pPr>
              <w:spacing w:after="0" w:line="252" w:lineRule="auto"/>
              <w:jc w:val="left"/>
            </w:pPr>
            <w:r>
              <w:rPr>
                <w:rFonts w:ascii="Arial" w:hAnsi="Arial" w:eastAsia="Microsoft YaHei"/>
                <w:b w:val="0"/>
                <w:i w:val="0"/>
                <w:color w:val="1A1A1A"/>
                <w:sz w:val="17"/>
              </w:rPr>
              <w:t>展示粒度、常用指标、输出格式</w:t>
            </w:r>
          </w:p>
        </w:tc>
        <w:tc>
          <w:tcPr>
            <w:tcW w:type="dxa" w:w="2600"/>
            <w:vAlign w:val="center"/>
          </w:tcPr>
          <w:p>
            <w:pPr>
              <w:spacing w:after="0" w:line="252" w:lineRule="auto"/>
              <w:jc w:val="left"/>
            </w:pPr>
            <w:r>
              <w:rPr>
                <w:rFonts w:ascii="Arial" w:hAnsi="Arial" w:eastAsia="Microsoft YaHei"/>
                <w:b w:val="0"/>
                <w:i w:val="0"/>
                <w:color w:val="1A1A1A"/>
                <w:sz w:val="17"/>
              </w:rPr>
              <w:t>敏感身份推断</w:t>
            </w:r>
          </w:p>
        </w:tc>
        <w:tc>
          <w:tcPr>
            <w:tcW w:type="dxa" w:w="2060"/>
            <w:vAlign w:val="center"/>
          </w:tcPr>
          <w:p>
            <w:pPr>
              <w:spacing w:after="0" w:line="252" w:lineRule="auto"/>
              <w:jc w:val="left"/>
            </w:pPr>
            <w:r>
              <w:rPr>
                <w:rFonts w:ascii="Arial" w:hAnsi="Arial" w:eastAsia="Microsoft YaHei"/>
                <w:b w:val="0"/>
                <w:i w:val="0"/>
                <w:color w:val="1A1A1A"/>
                <w:sz w:val="17"/>
              </w:rPr>
              <w:t>个性化呈现</w:t>
            </w:r>
          </w:p>
        </w:tc>
      </w:tr>
      <w:tr>
        <w:tc>
          <w:tcPr>
            <w:tcW w:type="dxa" w:w="1700"/>
            <w:vAlign w:val="center"/>
          </w:tcPr>
          <w:p>
            <w:pPr>
              <w:spacing w:after="0" w:line="252" w:lineRule="auto"/>
              <w:jc w:val="left"/>
            </w:pPr>
            <w:r>
              <w:rPr>
                <w:rFonts w:ascii="Arial" w:hAnsi="Arial" w:eastAsia="Microsoft YaHei"/>
                <w:b w:val="0"/>
                <w:i w:val="0"/>
                <w:color w:val="1A1A1A"/>
                <w:sz w:val="17"/>
              </w:rPr>
              <w:t>反馈记忆</w:t>
            </w:r>
          </w:p>
        </w:tc>
        <w:tc>
          <w:tcPr>
            <w:tcW w:type="dxa" w:w="3000"/>
            <w:vAlign w:val="center"/>
          </w:tcPr>
          <w:p>
            <w:pPr>
              <w:spacing w:after="0" w:line="252" w:lineRule="auto"/>
              <w:jc w:val="left"/>
            </w:pPr>
            <w:r>
              <w:rPr>
                <w:rFonts w:ascii="Arial" w:hAnsi="Arial" w:eastAsia="Microsoft YaHei"/>
                <w:b w:val="0"/>
                <w:i w:val="0"/>
                <w:color w:val="1A1A1A"/>
                <w:sz w:val="17"/>
              </w:rPr>
              <w:t>有帮助、数字错误、缺证据等标签</w:t>
            </w:r>
          </w:p>
        </w:tc>
        <w:tc>
          <w:tcPr>
            <w:tcW w:type="dxa" w:w="2600"/>
            <w:vAlign w:val="center"/>
          </w:tcPr>
          <w:p>
            <w:pPr>
              <w:spacing w:after="0" w:line="252" w:lineRule="auto"/>
              <w:jc w:val="left"/>
            </w:pPr>
            <w:r>
              <w:rPr>
                <w:rFonts w:ascii="Arial" w:hAnsi="Arial" w:eastAsia="Microsoft YaHei"/>
                <w:b w:val="0"/>
                <w:i w:val="0"/>
                <w:color w:val="1A1A1A"/>
                <w:sz w:val="17"/>
              </w:rPr>
              <w:t>未脱敏自由文本外发</w:t>
            </w:r>
          </w:p>
        </w:tc>
        <w:tc>
          <w:tcPr>
            <w:tcW w:type="dxa" w:w="2060"/>
            <w:vAlign w:val="center"/>
          </w:tcPr>
          <w:p>
            <w:pPr>
              <w:spacing w:after="0" w:line="252" w:lineRule="auto"/>
              <w:jc w:val="left"/>
            </w:pPr>
            <w:r>
              <w:rPr>
                <w:rFonts w:ascii="Arial" w:hAnsi="Arial" w:eastAsia="Microsoft YaHei"/>
                <w:b w:val="0"/>
                <w:i w:val="0"/>
                <w:color w:val="1A1A1A"/>
                <w:sz w:val="17"/>
              </w:rPr>
              <w:t>评测与 Prompt 优化</w:t>
            </w:r>
          </w:p>
        </w:tc>
      </w:tr>
    </w:tbl>
    <w:p>
      <w:pPr>
        <w:spacing w:after="0"/>
      </w:pPr>
    </w:p>
    <w:p>
      <w:pPr>
        <w:pStyle w:val="Heading2"/>
      </w:pPr>
      <w:r>
        <w:t>5.5 P2：主动监测与试点运营</w:t>
      </w:r>
    </w:p>
    <w:p>
      <w:pPr>
        <w:spacing w:after="80"/>
        <w:numPr>
          <w:ilvl w:val="0"/>
          <w:numId w:val="41"/>
        </w:numPr>
      </w:pPr>
      <w:r>
        <w:rPr>
          <w:rFonts w:ascii="Arial" w:hAnsi="Arial" w:eastAsia="Microsoft YaHei"/>
          <w:b w:val="0"/>
          <w:i w:val="0"/>
          <w:color w:val="1A1A1A"/>
          <w:sz w:val="21"/>
        </w:rPr>
        <w:t>检测新月份或新版本数据到达，自动运行规则诊断和质量检查。</w:t>
      </w:r>
    </w:p>
    <w:p>
      <w:pPr>
        <w:spacing w:after="80"/>
        <w:numPr>
          <w:ilvl w:val="0"/>
          <w:numId w:val="41"/>
        </w:numPr>
      </w:pPr>
      <w:r>
        <w:rPr>
          <w:rFonts w:ascii="Arial" w:hAnsi="Arial" w:eastAsia="Microsoft YaHei"/>
          <w:b w:val="0"/>
          <w:i w:val="0"/>
          <w:color w:val="1A1A1A"/>
          <w:sz w:val="21"/>
        </w:rPr>
        <w:t>仅在满足触发条件时生成待审阅提醒，不自动发送正式经营结论。</w:t>
      </w:r>
    </w:p>
    <w:p>
      <w:pPr>
        <w:spacing w:after="80"/>
        <w:numPr>
          <w:ilvl w:val="0"/>
          <w:numId w:val="41"/>
        </w:numPr>
      </w:pPr>
      <w:r>
        <w:rPr>
          <w:rFonts w:ascii="Arial" w:hAnsi="Arial" w:eastAsia="Microsoft YaHei"/>
          <w:b w:val="0"/>
          <w:i w:val="0"/>
          <w:color w:val="1A1A1A"/>
          <w:sz w:val="21"/>
        </w:rPr>
        <w:t>支持按机构、风险级别和指标配置提醒阈值与静默周期。</w:t>
      </w:r>
    </w:p>
    <w:p>
      <w:pPr>
        <w:spacing w:after="80"/>
        <w:numPr>
          <w:ilvl w:val="0"/>
          <w:numId w:val="41"/>
        </w:numPr>
      </w:pPr>
      <w:r>
        <w:rPr>
          <w:rFonts w:ascii="Arial" w:hAnsi="Arial" w:eastAsia="Microsoft YaHei"/>
          <w:b w:val="0"/>
          <w:i w:val="0"/>
          <w:color w:val="1A1A1A"/>
          <w:sz w:val="21"/>
        </w:rPr>
        <w:t>提供试点反馈面板，展示错误类型、采纳率、任务转化率和模型成本。</w:t>
      </w:r>
    </w:p>
    <w:p>
      <w:pPr>
        <w:pStyle w:val="Heading1"/>
      </w:pPr>
      <w:r>
        <w:t>6. AI 输出与工具协议</w:t>
      </w:r>
    </w:p>
    <w:p>
      <w:pPr>
        <w:pStyle w:val="Heading2"/>
      </w:pPr>
      <w:r>
        <w:t>6.1 标准输出对象</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对象</w:t>
            </w:r>
          </w:p>
        </w:tc>
        <w:tc>
          <w:tcPr>
            <w:tcW w:type="dxa" w:w="726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必填字段</w:t>
            </w:r>
          </w:p>
        </w:tc>
      </w:tr>
      <w:tr>
        <w:tc>
          <w:tcPr>
            <w:tcW w:type="dxa" w:w="2100"/>
            <w:vAlign w:val="center"/>
          </w:tcPr>
          <w:p>
            <w:pPr>
              <w:spacing w:after="0" w:line="252" w:lineRule="auto"/>
              <w:jc w:val="left"/>
            </w:pPr>
            <w:r>
              <w:rPr>
                <w:rFonts w:ascii="Arial" w:hAnsi="Arial" w:eastAsia="Microsoft YaHei"/>
                <w:b w:val="0"/>
                <w:i w:val="0"/>
                <w:color w:val="1A1A1A"/>
                <w:sz w:val="17"/>
              </w:rPr>
              <w:t>Fact</w:t>
            </w:r>
          </w:p>
        </w:tc>
        <w:tc>
          <w:tcPr>
            <w:tcW w:type="dxa" w:w="7260"/>
            <w:vAlign w:val="center"/>
          </w:tcPr>
          <w:p>
            <w:pPr>
              <w:spacing w:after="0" w:line="252" w:lineRule="auto"/>
              <w:jc w:val="left"/>
            </w:pPr>
            <w:r>
              <w:rPr>
                <w:rFonts w:ascii="Arial" w:hAnsi="Arial" w:eastAsia="Microsoft YaHei"/>
                <w:b w:val="0"/>
                <w:i w:val="0"/>
                <w:color w:val="1A1A1A"/>
                <w:sz w:val="17"/>
              </w:rPr>
              <w:t>id、text、evidenceIds、metricId、value、unit</w:t>
            </w:r>
          </w:p>
        </w:tc>
      </w:tr>
      <w:tr>
        <w:tc>
          <w:tcPr>
            <w:tcW w:type="dxa" w:w="2100"/>
            <w:vAlign w:val="center"/>
          </w:tcPr>
          <w:p>
            <w:pPr>
              <w:spacing w:after="0" w:line="252" w:lineRule="auto"/>
              <w:jc w:val="left"/>
            </w:pPr>
            <w:r>
              <w:rPr>
                <w:rFonts w:ascii="Arial" w:hAnsi="Arial" w:eastAsia="Microsoft YaHei"/>
                <w:b w:val="0"/>
                <w:i w:val="0"/>
                <w:color w:val="1A1A1A"/>
                <w:sz w:val="17"/>
              </w:rPr>
              <w:t>Inference</w:t>
            </w:r>
          </w:p>
        </w:tc>
        <w:tc>
          <w:tcPr>
            <w:tcW w:type="dxa" w:w="7260"/>
            <w:vAlign w:val="center"/>
          </w:tcPr>
          <w:p>
            <w:pPr>
              <w:spacing w:after="0" w:line="252" w:lineRule="auto"/>
              <w:jc w:val="left"/>
            </w:pPr>
            <w:r>
              <w:rPr>
                <w:rFonts w:ascii="Arial" w:hAnsi="Arial" w:eastAsia="Microsoft YaHei"/>
                <w:b w:val="0"/>
                <w:i w:val="0"/>
                <w:color w:val="1A1A1A"/>
                <w:sz w:val="17"/>
              </w:rPr>
              <w:t>id、text、confidence、evidenceIds、limitations</w:t>
            </w:r>
          </w:p>
        </w:tc>
      </w:tr>
      <w:tr>
        <w:tc>
          <w:tcPr>
            <w:tcW w:type="dxa" w:w="2100"/>
            <w:vAlign w:val="center"/>
          </w:tcPr>
          <w:p>
            <w:pPr>
              <w:spacing w:after="0" w:line="252" w:lineRule="auto"/>
              <w:jc w:val="left"/>
            </w:pPr>
            <w:r>
              <w:rPr>
                <w:rFonts w:ascii="Arial" w:hAnsi="Arial" w:eastAsia="Microsoft YaHei"/>
                <w:b w:val="0"/>
                <w:i w:val="0"/>
                <w:color w:val="1A1A1A"/>
                <w:sz w:val="17"/>
              </w:rPr>
              <w:t>Recommendation</w:t>
            </w:r>
          </w:p>
        </w:tc>
        <w:tc>
          <w:tcPr>
            <w:tcW w:type="dxa" w:w="7260"/>
            <w:vAlign w:val="center"/>
          </w:tcPr>
          <w:p>
            <w:pPr>
              <w:spacing w:after="0" w:line="252" w:lineRule="auto"/>
              <w:jc w:val="left"/>
            </w:pPr>
            <w:r>
              <w:rPr>
                <w:rFonts w:ascii="Arial" w:hAnsi="Arial" w:eastAsia="Microsoft YaHei"/>
                <w:b w:val="0"/>
                <w:i w:val="0"/>
                <w:color w:val="1A1A1A"/>
                <w:sz w:val="17"/>
              </w:rPr>
              <w:t>id、title、action、metricId、direction、evidenceIds、ownerRole、period</w:t>
            </w:r>
          </w:p>
        </w:tc>
      </w:tr>
      <w:tr>
        <w:tc>
          <w:tcPr>
            <w:tcW w:type="dxa" w:w="2100"/>
            <w:vAlign w:val="center"/>
          </w:tcPr>
          <w:p>
            <w:pPr>
              <w:spacing w:after="0" w:line="252" w:lineRule="auto"/>
              <w:jc w:val="left"/>
            </w:pPr>
            <w:r>
              <w:rPr>
                <w:rFonts w:ascii="Arial" w:hAnsi="Arial" w:eastAsia="Microsoft YaHei"/>
                <w:b w:val="0"/>
                <w:i w:val="0"/>
                <w:color w:val="1A1A1A"/>
                <w:sz w:val="17"/>
              </w:rPr>
              <w:t>AgentPlan</w:t>
            </w:r>
          </w:p>
        </w:tc>
        <w:tc>
          <w:tcPr>
            <w:tcW w:type="dxa" w:w="7260"/>
            <w:vAlign w:val="center"/>
          </w:tcPr>
          <w:p>
            <w:pPr>
              <w:spacing w:after="0" w:line="252" w:lineRule="auto"/>
              <w:jc w:val="left"/>
            </w:pPr>
            <w:r>
              <w:rPr>
                <w:rFonts w:ascii="Arial" w:hAnsi="Arial" w:eastAsia="Microsoft YaHei"/>
                <w:b w:val="0"/>
                <w:i w:val="0"/>
                <w:color w:val="1A1A1A"/>
                <w:sz w:val="17"/>
              </w:rPr>
              <w:t>goal、steps、requiredTools、status、missingInputs</w:t>
            </w:r>
          </w:p>
        </w:tc>
      </w:tr>
      <w:tr>
        <w:tc>
          <w:tcPr>
            <w:tcW w:type="dxa" w:w="2100"/>
            <w:vAlign w:val="center"/>
          </w:tcPr>
          <w:p>
            <w:pPr>
              <w:spacing w:after="0" w:line="252" w:lineRule="auto"/>
              <w:jc w:val="left"/>
            </w:pPr>
            <w:r>
              <w:rPr>
                <w:rFonts w:ascii="Arial" w:hAnsi="Arial" w:eastAsia="Microsoft YaHei"/>
                <w:b w:val="0"/>
                <w:i w:val="0"/>
                <w:color w:val="1A1A1A"/>
                <w:sz w:val="17"/>
              </w:rPr>
              <w:t>ToolResult</w:t>
            </w:r>
          </w:p>
        </w:tc>
        <w:tc>
          <w:tcPr>
            <w:tcW w:type="dxa" w:w="7260"/>
            <w:vAlign w:val="center"/>
          </w:tcPr>
          <w:p>
            <w:pPr>
              <w:spacing w:after="0" w:line="252" w:lineRule="auto"/>
              <w:jc w:val="left"/>
            </w:pPr>
            <w:r>
              <w:rPr>
                <w:rFonts w:ascii="Arial" w:hAnsi="Arial" w:eastAsia="Microsoft YaHei"/>
                <w:b w:val="0"/>
                <w:i w:val="0"/>
                <w:color w:val="1A1A1A"/>
                <w:sz w:val="17"/>
              </w:rPr>
              <w:t>toolName、inputHash、output、status、latencyMs、errorType</w:t>
            </w:r>
          </w:p>
        </w:tc>
      </w:tr>
    </w:tbl>
    <w:p>
      <w:pPr>
        <w:spacing w:after="0"/>
      </w:pPr>
    </w:p>
    <w:p>
      <w:pPr>
        <w:pStyle w:val="Heading2"/>
      </w:pPr>
      <w:r>
        <w:t>6.2 工具清单</w:t>
      </w:r>
    </w:p>
    <w:tbl>
      <w:tblPr>
        <w:tblStyle w:val="TableGrid"/>
        <w:tblW w:type="dxa" w:w="9360"/>
        <w:jc w:val="left"/>
        <w:tblLayout w:type="fixed"/>
        <w:tblLook w:firstColumn="1" w:firstRow="1" w:lastColumn="0" w:lastRow="0" w:noHBand="0" w:noVBand="1" w:val="04A0"/>
        <w:tblInd w:w="120" w:type="dxa"/>
      </w:tblPr>
      <w:tblGrid>
        <w:gridCol w:w="2500"/>
        <w:gridCol w:w="3400"/>
        <w:gridCol w:w="3460"/>
      </w:tblGrid>
      <w:tr>
        <w:trPr>
          <w:tblHeader w:val="true"/>
        </w:trPr>
        <w:tc>
          <w:tcPr>
            <w:tcW w:type="dxa" w:w="25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工具</w:t>
            </w:r>
          </w:p>
        </w:tc>
        <w:tc>
          <w:tcPr>
            <w:tcW w:type="dxa" w:w="34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职责</w:t>
            </w:r>
          </w:p>
        </w:tc>
        <w:tc>
          <w:tcPr>
            <w:tcW w:type="dxa" w:w="346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输出原则</w:t>
            </w:r>
          </w:p>
        </w:tc>
      </w:tr>
      <w:tr>
        <w:tc>
          <w:tcPr>
            <w:tcW w:type="dxa" w:w="2500"/>
            <w:vAlign w:val="center"/>
          </w:tcPr>
          <w:p>
            <w:pPr>
              <w:spacing w:after="0" w:line="252" w:lineRule="auto"/>
              <w:jc w:val="left"/>
            </w:pPr>
            <w:r>
              <w:rPr>
                <w:rFonts w:ascii="Arial" w:hAnsi="Arial" w:eastAsia="Microsoft YaHei"/>
                <w:b w:val="0"/>
                <w:i w:val="0"/>
                <w:color w:val="1A1A1A"/>
                <w:sz w:val="17"/>
              </w:rPr>
              <w:t>get_metric_snapshot</w:t>
            </w:r>
          </w:p>
        </w:tc>
        <w:tc>
          <w:tcPr>
            <w:tcW w:type="dxa" w:w="3400"/>
            <w:vAlign w:val="center"/>
          </w:tcPr>
          <w:p>
            <w:pPr>
              <w:spacing w:after="0" w:line="252" w:lineRule="auto"/>
              <w:jc w:val="left"/>
            </w:pPr>
            <w:r>
              <w:rPr>
                <w:rFonts w:ascii="Arial" w:hAnsi="Arial" w:eastAsia="Microsoft YaHei"/>
                <w:b w:val="0"/>
                <w:i w:val="0"/>
                <w:color w:val="1A1A1A"/>
                <w:sz w:val="17"/>
              </w:rPr>
              <w:t>读取指定机构、周期、指标</w:t>
            </w:r>
          </w:p>
        </w:tc>
        <w:tc>
          <w:tcPr>
            <w:tcW w:type="dxa" w:w="3460"/>
            <w:vAlign w:val="center"/>
          </w:tcPr>
          <w:p>
            <w:pPr>
              <w:spacing w:after="0" w:line="252" w:lineRule="auto"/>
              <w:jc w:val="left"/>
            </w:pPr>
            <w:r>
              <w:rPr>
                <w:rFonts w:ascii="Arial" w:hAnsi="Arial" w:eastAsia="Microsoft YaHei"/>
                <w:b w:val="0"/>
                <w:i w:val="0"/>
                <w:color w:val="1A1A1A"/>
                <w:sz w:val="17"/>
              </w:rPr>
              <w:t>返回原始值、单位、版本和来源</w:t>
            </w:r>
          </w:p>
        </w:tc>
      </w:tr>
      <w:tr>
        <w:tc>
          <w:tcPr>
            <w:tcW w:type="dxa" w:w="2500"/>
            <w:vAlign w:val="center"/>
          </w:tcPr>
          <w:p>
            <w:pPr>
              <w:spacing w:after="0" w:line="252" w:lineRule="auto"/>
              <w:jc w:val="left"/>
            </w:pPr>
            <w:r>
              <w:rPr>
                <w:rFonts w:ascii="Arial" w:hAnsi="Arial" w:eastAsia="Microsoft YaHei"/>
                <w:b w:val="0"/>
                <w:i w:val="0"/>
                <w:color w:val="1A1A1A"/>
                <w:sz w:val="17"/>
              </w:rPr>
              <w:t>calculate_metric</w:t>
            </w:r>
          </w:p>
        </w:tc>
        <w:tc>
          <w:tcPr>
            <w:tcW w:type="dxa" w:w="3400"/>
            <w:vAlign w:val="center"/>
          </w:tcPr>
          <w:p>
            <w:pPr>
              <w:spacing w:after="0" w:line="252" w:lineRule="auto"/>
              <w:jc w:val="left"/>
            </w:pPr>
            <w:r>
              <w:rPr>
                <w:rFonts w:ascii="Arial" w:hAnsi="Arial" w:eastAsia="Microsoft YaHei"/>
                <w:b w:val="0"/>
                <w:i w:val="0"/>
                <w:color w:val="1A1A1A"/>
                <w:sz w:val="17"/>
              </w:rPr>
              <w:t>执行确定性指标计算</w:t>
            </w:r>
          </w:p>
        </w:tc>
        <w:tc>
          <w:tcPr>
            <w:tcW w:type="dxa" w:w="3460"/>
            <w:vAlign w:val="center"/>
          </w:tcPr>
          <w:p>
            <w:pPr>
              <w:spacing w:after="0" w:line="252" w:lineRule="auto"/>
              <w:jc w:val="left"/>
            </w:pPr>
            <w:r>
              <w:rPr>
                <w:rFonts w:ascii="Arial" w:hAnsi="Arial" w:eastAsia="Microsoft YaHei"/>
                <w:b w:val="0"/>
                <w:i w:val="0"/>
                <w:color w:val="1A1A1A"/>
                <w:sz w:val="17"/>
              </w:rPr>
              <w:t>返回公式版本和参与字段</w:t>
            </w:r>
          </w:p>
        </w:tc>
      </w:tr>
      <w:tr>
        <w:tc>
          <w:tcPr>
            <w:tcW w:type="dxa" w:w="2500"/>
            <w:vAlign w:val="center"/>
          </w:tcPr>
          <w:p>
            <w:pPr>
              <w:spacing w:after="0" w:line="252" w:lineRule="auto"/>
              <w:jc w:val="left"/>
            </w:pPr>
            <w:r>
              <w:rPr>
                <w:rFonts w:ascii="Arial" w:hAnsi="Arial" w:eastAsia="Microsoft YaHei"/>
                <w:b w:val="0"/>
                <w:i w:val="0"/>
                <w:color w:val="1A1A1A"/>
                <w:sz w:val="17"/>
              </w:rPr>
              <w:t>compare_trend</w:t>
            </w:r>
          </w:p>
        </w:tc>
        <w:tc>
          <w:tcPr>
            <w:tcW w:type="dxa" w:w="3400"/>
            <w:vAlign w:val="center"/>
          </w:tcPr>
          <w:p>
            <w:pPr>
              <w:spacing w:after="0" w:line="252" w:lineRule="auto"/>
              <w:jc w:val="left"/>
            </w:pPr>
            <w:r>
              <w:rPr>
                <w:rFonts w:ascii="Arial" w:hAnsi="Arial" w:eastAsia="Microsoft YaHei"/>
                <w:b w:val="0"/>
                <w:i w:val="0"/>
                <w:color w:val="1A1A1A"/>
                <w:sz w:val="17"/>
              </w:rPr>
              <w:t>比较跨周期变化</w:t>
            </w:r>
          </w:p>
        </w:tc>
        <w:tc>
          <w:tcPr>
            <w:tcW w:type="dxa" w:w="3460"/>
            <w:vAlign w:val="center"/>
          </w:tcPr>
          <w:p>
            <w:pPr>
              <w:spacing w:after="0" w:line="252" w:lineRule="auto"/>
              <w:jc w:val="left"/>
            </w:pPr>
            <w:r>
              <w:rPr>
                <w:rFonts w:ascii="Arial" w:hAnsi="Arial" w:eastAsia="Microsoft YaHei"/>
                <w:b w:val="0"/>
                <w:i w:val="0"/>
                <w:color w:val="1A1A1A"/>
                <w:sz w:val="17"/>
              </w:rPr>
              <w:t>不推断因果</w:t>
            </w:r>
          </w:p>
        </w:tc>
      </w:tr>
      <w:tr>
        <w:tc>
          <w:tcPr>
            <w:tcW w:type="dxa" w:w="2500"/>
            <w:vAlign w:val="center"/>
          </w:tcPr>
          <w:p>
            <w:pPr>
              <w:spacing w:after="0" w:line="252" w:lineRule="auto"/>
              <w:jc w:val="left"/>
            </w:pPr>
            <w:r>
              <w:rPr>
                <w:rFonts w:ascii="Arial" w:hAnsi="Arial" w:eastAsia="Microsoft YaHei"/>
                <w:b w:val="0"/>
                <w:i w:val="0"/>
                <w:color w:val="1A1A1A"/>
                <w:sz w:val="17"/>
              </w:rPr>
              <w:t>compare_benchmark</w:t>
            </w:r>
          </w:p>
        </w:tc>
        <w:tc>
          <w:tcPr>
            <w:tcW w:type="dxa" w:w="3400"/>
            <w:vAlign w:val="center"/>
          </w:tcPr>
          <w:p>
            <w:pPr>
              <w:spacing w:after="0" w:line="252" w:lineRule="auto"/>
              <w:jc w:val="left"/>
            </w:pPr>
            <w:r>
              <w:rPr>
                <w:rFonts w:ascii="Arial" w:hAnsi="Arial" w:eastAsia="Microsoft YaHei"/>
                <w:b w:val="0"/>
                <w:i w:val="0"/>
                <w:color w:val="1A1A1A"/>
                <w:sz w:val="17"/>
              </w:rPr>
              <w:t>与计划、整体或同类机构比较</w:t>
            </w:r>
          </w:p>
        </w:tc>
        <w:tc>
          <w:tcPr>
            <w:tcW w:type="dxa" w:w="3460"/>
            <w:vAlign w:val="center"/>
          </w:tcPr>
          <w:p>
            <w:pPr>
              <w:spacing w:after="0" w:line="252" w:lineRule="auto"/>
              <w:jc w:val="left"/>
            </w:pPr>
            <w:r>
              <w:rPr>
                <w:rFonts w:ascii="Arial" w:hAnsi="Arial" w:eastAsia="Microsoft YaHei"/>
                <w:b w:val="0"/>
                <w:i w:val="0"/>
                <w:color w:val="1A1A1A"/>
                <w:sz w:val="17"/>
              </w:rPr>
              <w:t>明确对标对象</w:t>
            </w:r>
          </w:p>
        </w:tc>
      </w:tr>
      <w:tr>
        <w:tc>
          <w:tcPr>
            <w:tcW w:type="dxa" w:w="2500"/>
            <w:vAlign w:val="center"/>
          </w:tcPr>
          <w:p>
            <w:pPr>
              <w:spacing w:after="0" w:line="252" w:lineRule="auto"/>
              <w:jc w:val="left"/>
            </w:pPr>
            <w:r>
              <w:rPr>
                <w:rFonts w:ascii="Arial" w:hAnsi="Arial" w:eastAsia="Microsoft YaHei"/>
                <w:b w:val="0"/>
                <w:i w:val="0"/>
                <w:color w:val="1A1A1A"/>
                <w:sz w:val="17"/>
              </w:rPr>
              <w:t>get_evidence</w:t>
            </w:r>
          </w:p>
        </w:tc>
        <w:tc>
          <w:tcPr>
            <w:tcW w:type="dxa" w:w="3400"/>
            <w:vAlign w:val="center"/>
          </w:tcPr>
          <w:p>
            <w:pPr>
              <w:spacing w:after="0" w:line="252" w:lineRule="auto"/>
              <w:jc w:val="left"/>
            </w:pPr>
            <w:r>
              <w:rPr>
                <w:rFonts w:ascii="Arial" w:hAnsi="Arial" w:eastAsia="Microsoft YaHei"/>
                <w:b w:val="0"/>
                <w:i w:val="0"/>
                <w:color w:val="1A1A1A"/>
                <w:sz w:val="17"/>
              </w:rPr>
              <w:t>读取证据快照</w:t>
            </w:r>
          </w:p>
        </w:tc>
        <w:tc>
          <w:tcPr>
            <w:tcW w:type="dxa" w:w="3460"/>
            <w:vAlign w:val="center"/>
          </w:tcPr>
          <w:p>
            <w:pPr>
              <w:spacing w:after="0" w:line="252" w:lineRule="auto"/>
              <w:jc w:val="left"/>
            </w:pPr>
            <w:r>
              <w:rPr>
                <w:rFonts w:ascii="Arial" w:hAnsi="Arial" w:eastAsia="Microsoft YaHei"/>
                <w:b w:val="0"/>
                <w:i w:val="0"/>
                <w:color w:val="1A1A1A"/>
                <w:sz w:val="17"/>
              </w:rPr>
              <w:t>仅返回授权机构数据</w:t>
            </w:r>
          </w:p>
        </w:tc>
      </w:tr>
      <w:tr>
        <w:tc>
          <w:tcPr>
            <w:tcW w:type="dxa" w:w="2500"/>
            <w:vAlign w:val="center"/>
          </w:tcPr>
          <w:p>
            <w:pPr>
              <w:spacing w:after="0" w:line="252" w:lineRule="auto"/>
              <w:jc w:val="left"/>
            </w:pPr>
            <w:r>
              <w:rPr>
                <w:rFonts w:ascii="Arial" w:hAnsi="Arial" w:eastAsia="Microsoft YaHei"/>
                <w:b w:val="0"/>
                <w:i w:val="0"/>
                <w:color w:val="1A1A1A"/>
                <w:sz w:val="17"/>
              </w:rPr>
              <w:t>create_remediation_draft</w:t>
            </w:r>
          </w:p>
        </w:tc>
        <w:tc>
          <w:tcPr>
            <w:tcW w:type="dxa" w:w="3400"/>
            <w:vAlign w:val="center"/>
          </w:tcPr>
          <w:p>
            <w:pPr>
              <w:spacing w:after="0" w:line="252" w:lineRule="auto"/>
              <w:jc w:val="left"/>
            </w:pPr>
            <w:r>
              <w:rPr>
                <w:rFonts w:ascii="Arial" w:hAnsi="Arial" w:eastAsia="Microsoft YaHei"/>
                <w:b w:val="0"/>
                <w:i w:val="0"/>
                <w:color w:val="1A1A1A"/>
                <w:sz w:val="17"/>
              </w:rPr>
              <w:t>生成整改草稿</w:t>
            </w:r>
          </w:p>
        </w:tc>
        <w:tc>
          <w:tcPr>
            <w:tcW w:type="dxa" w:w="3460"/>
            <w:vAlign w:val="center"/>
          </w:tcPr>
          <w:p>
            <w:pPr>
              <w:spacing w:after="0" w:line="252" w:lineRule="auto"/>
              <w:jc w:val="left"/>
            </w:pPr>
            <w:r>
              <w:rPr>
                <w:rFonts w:ascii="Arial" w:hAnsi="Arial" w:eastAsia="Microsoft YaHei"/>
                <w:b w:val="0"/>
                <w:i w:val="0"/>
                <w:color w:val="1A1A1A"/>
                <w:sz w:val="17"/>
              </w:rPr>
              <w:t>必须等待用户确认</w:t>
            </w:r>
          </w:p>
        </w:tc>
      </w:tr>
      <w:tr>
        <w:tc>
          <w:tcPr>
            <w:tcW w:type="dxa" w:w="2500"/>
            <w:vAlign w:val="center"/>
          </w:tcPr>
          <w:p>
            <w:pPr>
              <w:spacing w:after="0" w:line="252" w:lineRule="auto"/>
              <w:jc w:val="left"/>
            </w:pPr>
            <w:r>
              <w:rPr>
                <w:rFonts w:ascii="Arial" w:hAnsi="Arial" w:eastAsia="Microsoft YaHei"/>
                <w:b w:val="0"/>
                <w:i w:val="0"/>
                <w:color w:val="1A1A1A"/>
                <w:sz w:val="17"/>
              </w:rPr>
              <w:t>review_remediation</w:t>
            </w:r>
          </w:p>
        </w:tc>
        <w:tc>
          <w:tcPr>
            <w:tcW w:type="dxa" w:w="3400"/>
            <w:vAlign w:val="center"/>
          </w:tcPr>
          <w:p>
            <w:pPr>
              <w:spacing w:after="0" w:line="252" w:lineRule="auto"/>
              <w:jc w:val="left"/>
            </w:pPr>
            <w:r>
              <w:rPr>
                <w:rFonts w:ascii="Arial" w:hAnsi="Arial" w:eastAsia="Microsoft YaHei"/>
                <w:b w:val="0"/>
                <w:i w:val="0"/>
                <w:color w:val="1A1A1A"/>
                <w:sz w:val="17"/>
              </w:rPr>
              <w:t>计算后续改善结果</w:t>
            </w:r>
          </w:p>
        </w:tc>
        <w:tc>
          <w:tcPr>
            <w:tcW w:type="dxa" w:w="3460"/>
            <w:vAlign w:val="center"/>
          </w:tcPr>
          <w:p>
            <w:pPr>
              <w:spacing w:after="0" w:line="252" w:lineRule="auto"/>
              <w:jc w:val="left"/>
            </w:pPr>
            <w:r>
              <w:rPr>
                <w:rFonts w:ascii="Arial" w:hAnsi="Arial" w:eastAsia="Microsoft YaHei"/>
                <w:b w:val="0"/>
                <w:i w:val="0"/>
                <w:color w:val="1A1A1A"/>
                <w:sz w:val="17"/>
              </w:rPr>
              <w:t>输出限制条件</w:t>
            </w:r>
          </w:p>
        </w:tc>
      </w:tr>
    </w:tbl>
    <w:p>
      <w:pPr>
        <w:spacing w:after="0"/>
      </w:pPr>
    </w:p>
    <w:p>
      <w:pPr>
        <w:pStyle w:val="Heading1"/>
      </w:pPr>
      <w:r>
        <w:t>7. 数据、安全与合规需求</w:t>
      </w:r>
    </w:p>
    <w:p>
      <w:pPr>
        <w:spacing w:after="80"/>
        <w:numPr>
          <w:ilvl w:val="0"/>
          <w:numId w:val="41"/>
        </w:numPr>
      </w:pPr>
      <w:r>
        <w:rPr>
          <w:rFonts w:ascii="Arial" w:hAnsi="Arial" w:eastAsia="Microsoft YaHei"/>
          <w:b w:val="0"/>
          <w:i w:val="0"/>
          <w:color w:val="1A1A1A"/>
          <w:sz w:val="21"/>
        </w:rPr>
        <w:t>所有业务实体统一绑定 orgId；机构名称仅用于展示，不作为唯一权限键。</w:t>
      </w:r>
    </w:p>
    <w:p>
      <w:pPr>
        <w:spacing w:after="80"/>
        <w:numPr>
          <w:ilvl w:val="0"/>
          <w:numId w:val="41"/>
        </w:numPr>
      </w:pPr>
      <w:r>
        <w:rPr>
          <w:rFonts w:ascii="Arial" w:hAnsi="Arial" w:eastAsia="Microsoft YaHei"/>
          <w:b w:val="0"/>
          <w:i w:val="0"/>
          <w:color w:val="1A1A1A"/>
          <w:sz w:val="21"/>
        </w:rPr>
        <w:t>生产环境必须使用 proxy 或 token 鉴权；proxy 模式下应用不得直接暴露给终端用户。</w:t>
      </w:r>
    </w:p>
    <w:p>
      <w:pPr>
        <w:spacing w:after="80"/>
        <w:numPr>
          <w:ilvl w:val="0"/>
          <w:numId w:val="41"/>
        </w:numPr>
      </w:pPr>
      <w:r>
        <w:rPr>
          <w:rFonts w:ascii="Arial" w:hAnsi="Arial" w:eastAsia="Microsoft YaHei"/>
          <w:b w:val="0"/>
          <w:i w:val="0"/>
          <w:color w:val="1A1A1A"/>
          <w:sz w:val="21"/>
        </w:rPr>
        <w:t>模型服务密钥只保存在服务端安全环境变量中，严禁写入前端、日志或文档。</w:t>
      </w:r>
    </w:p>
    <w:p>
      <w:pPr>
        <w:spacing w:after="80"/>
        <w:numPr>
          <w:ilvl w:val="0"/>
          <w:numId w:val="41"/>
        </w:numPr>
      </w:pPr>
      <w:r>
        <w:rPr>
          <w:rFonts w:ascii="Arial" w:hAnsi="Arial" w:eastAsia="Microsoft YaHei"/>
          <w:b w:val="0"/>
          <w:i w:val="0"/>
          <w:color w:val="1A1A1A"/>
          <w:sz w:val="21"/>
        </w:rPr>
        <w:t>发送给模型的数据采用字段白名单；人员姓名、账号等信息按任务需要脱敏或移除。</w:t>
      </w:r>
    </w:p>
    <w:p>
      <w:pPr>
        <w:spacing w:after="80"/>
        <w:numPr>
          <w:ilvl w:val="0"/>
          <w:numId w:val="41"/>
        </w:numPr>
      </w:pPr>
      <w:r>
        <w:rPr>
          <w:rFonts w:ascii="Arial" w:hAnsi="Arial" w:eastAsia="Microsoft YaHei"/>
          <w:b w:val="0"/>
          <w:i w:val="0"/>
          <w:color w:val="1A1A1A"/>
          <w:sz w:val="21"/>
        </w:rPr>
        <w:t>审计日志记录谁、何时、针对哪个机构和周期、调用了哪个模型与工具、结果状态和错误类型。</w:t>
      </w:r>
    </w:p>
    <w:p>
      <w:pPr>
        <w:spacing w:after="80"/>
        <w:numPr>
          <w:ilvl w:val="0"/>
          <w:numId w:val="41"/>
        </w:numPr>
      </w:pPr>
      <w:r>
        <w:rPr>
          <w:rFonts w:ascii="Arial" w:hAnsi="Arial" w:eastAsia="Microsoft YaHei"/>
          <w:b w:val="0"/>
          <w:i w:val="0"/>
          <w:color w:val="1A1A1A"/>
          <w:sz w:val="21"/>
        </w:rPr>
        <w:t>数据库写入采用事务；诊断与证据、任务与状态历史必须原子提交。</w:t>
      </w:r>
    </w:p>
    <w:p>
      <w:pPr>
        <w:spacing w:after="80"/>
        <w:numPr>
          <w:ilvl w:val="0"/>
          <w:numId w:val="41"/>
        </w:numPr>
      </w:pPr>
      <w:r>
        <w:rPr>
          <w:rFonts w:ascii="Arial" w:hAnsi="Arial" w:eastAsia="Microsoft YaHei"/>
          <w:b w:val="0"/>
          <w:i w:val="0"/>
          <w:color w:val="1A1A1A"/>
          <w:sz w:val="21"/>
        </w:rPr>
        <w:t>开发数据库、备份、日志和评测数据不得进入代码仓库或公开部署包。</w:t>
      </w:r>
    </w:p>
    <w:p>
      <w:pPr>
        <w:pStyle w:val="Heading1"/>
      </w:pPr>
      <w:r>
        <w:t>8. 评测体系与发布门禁</w:t>
      </w:r>
    </w:p>
    <w:p>
      <w:pPr>
        <w:pStyle w:val="Heading2"/>
      </w:pPr>
      <w:r>
        <w:t>8.1 回归测试集</w:t>
      </w:r>
    </w:p>
    <w:p>
      <w:r>
        <w:rPr>
          <w:rFonts w:ascii="Arial" w:hAnsi="Arial" w:eastAsia="Microsoft YaHei"/>
          <w:b w:val="0"/>
          <w:i w:val="0"/>
          <w:color w:val="1A1A1A"/>
          <w:sz w:val="21"/>
        </w:rPr>
        <w:t>首批建立不少于 60 个场景，后续每次发现真实问题都必须沉淀为固定回归用例。</w:t>
      </w:r>
    </w:p>
    <w:tbl>
      <w:tblPr>
        <w:tblStyle w:val="TableGrid"/>
        <w:tblW w:type="dxa" w:w="9360"/>
        <w:jc w:val="left"/>
        <w:tblLayout w:type="fixed"/>
        <w:tblLook w:firstColumn="1" w:firstRow="1" w:lastColumn="0" w:lastRow="0" w:noHBand="0" w:noVBand="1" w:val="04A0"/>
        <w:tblInd w:w="120" w:type="dxa"/>
      </w:tblPr>
      <w:tblGrid>
        <w:gridCol w:w="2200"/>
        <w:gridCol w:w="1500"/>
        <w:gridCol w:w="5660"/>
      </w:tblGrid>
      <w:tr>
        <w:trPr>
          <w:tblHeader w:val="true"/>
        </w:trPr>
        <w:tc>
          <w:tcPr>
            <w:tcW w:type="dxa" w:w="22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场景组</w:t>
            </w:r>
          </w:p>
        </w:tc>
        <w:tc>
          <w:tcPr>
            <w:tcW w:type="dxa" w:w="15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最低数量</w:t>
            </w:r>
          </w:p>
        </w:tc>
        <w:tc>
          <w:tcPr>
            <w:tcW w:type="dxa" w:w="566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示例</w:t>
            </w:r>
          </w:p>
        </w:tc>
      </w:tr>
      <w:tr>
        <w:tc>
          <w:tcPr>
            <w:tcW w:type="dxa" w:w="2200"/>
            <w:vAlign w:val="center"/>
          </w:tcPr>
          <w:p>
            <w:pPr>
              <w:spacing w:after="0" w:line="252" w:lineRule="auto"/>
              <w:jc w:val="left"/>
            </w:pPr>
            <w:r>
              <w:rPr>
                <w:rFonts w:ascii="Arial" w:hAnsi="Arial" w:eastAsia="Microsoft YaHei"/>
                <w:b w:val="0"/>
                <w:i w:val="0"/>
                <w:color w:val="1A1A1A"/>
                <w:sz w:val="17"/>
              </w:rPr>
              <w:t>数字与单位</w:t>
            </w:r>
          </w:p>
        </w:tc>
        <w:tc>
          <w:tcPr>
            <w:tcW w:type="dxa" w:w="1500"/>
            <w:vAlign w:val="center"/>
          </w:tcPr>
          <w:p>
            <w:pPr>
              <w:spacing w:after="0" w:line="252" w:lineRule="auto"/>
              <w:jc w:val="left"/>
            </w:pPr>
            <w:r>
              <w:rPr>
                <w:rFonts w:ascii="Arial" w:hAnsi="Arial" w:eastAsia="Microsoft YaHei"/>
                <w:b w:val="0"/>
                <w:i w:val="0"/>
                <w:color w:val="1A1A1A"/>
                <w:sz w:val="17"/>
              </w:rPr>
              <w:t>15</w:t>
            </w:r>
          </w:p>
        </w:tc>
        <w:tc>
          <w:tcPr>
            <w:tcW w:type="dxa" w:w="5660"/>
            <w:vAlign w:val="center"/>
          </w:tcPr>
          <w:p>
            <w:pPr>
              <w:spacing w:after="0" w:line="252" w:lineRule="auto"/>
              <w:jc w:val="left"/>
            </w:pPr>
            <w:r>
              <w:rPr>
                <w:rFonts w:ascii="Arial" w:hAnsi="Arial" w:eastAsia="Microsoft YaHei"/>
                <w:b w:val="0"/>
                <w:i w:val="0"/>
                <w:color w:val="1A1A1A"/>
                <w:sz w:val="17"/>
              </w:rPr>
              <w:t>百分比、万元、负数、零分母、四舍五入</w:t>
            </w:r>
          </w:p>
        </w:tc>
      </w:tr>
      <w:tr>
        <w:tc>
          <w:tcPr>
            <w:tcW w:type="dxa" w:w="2200"/>
            <w:vAlign w:val="center"/>
          </w:tcPr>
          <w:p>
            <w:pPr>
              <w:spacing w:after="0" w:line="252" w:lineRule="auto"/>
              <w:jc w:val="left"/>
            </w:pPr>
            <w:r>
              <w:rPr>
                <w:rFonts w:ascii="Arial" w:hAnsi="Arial" w:eastAsia="Microsoft YaHei"/>
                <w:b w:val="0"/>
                <w:i w:val="0"/>
                <w:color w:val="1A1A1A"/>
                <w:sz w:val="17"/>
              </w:rPr>
              <w:t>指标方向</w:t>
            </w:r>
          </w:p>
        </w:tc>
        <w:tc>
          <w:tcPr>
            <w:tcW w:type="dxa" w:w="1500"/>
            <w:vAlign w:val="center"/>
          </w:tcPr>
          <w:p>
            <w:pPr>
              <w:spacing w:after="0" w:line="252" w:lineRule="auto"/>
              <w:jc w:val="left"/>
            </w:pPr>
            <w:r>
              <w:rPr>
                <w:rFonts w:ascii="Arial" w:hAnsi="Arial" w:eastAsia="Microsoft YaHei"/>
                <w:b w:val="0"/>
                <w:i w:val="0"/>
                <w:color w:val="1A1A1A"/>
                <w:sz w:val="17"/>
              </w:rPr>
              <w:t>10</w:t>
            </w:r>
          </w:p>
        </w:tc>
        <w:tc>
          <w:tcPr>
            <w:tcW w:type="dxa" w:w="5660"/>
            <w:vAlign w:val="center"/>
          </w:tcPr>
          <w:p>
            <w:pPr>
              <w:spacing w:after="0" w:line="252" w:lineRule="auto"/>
              <w:jc w:val="left"/>
            </w:pPr>
            <w:r>
              <w:rPr>
                <w:rFonts w:ascii="Arial" w:hAnsi="Arial" w:eastAsia="Microsoft YaHei"/>
                <w:b w:val="0"/>
                <w:i w:val="0"/>
                <w:color w:val="1A1A1A"/>
                <w:sz w:val="17"/>
              </w:rPr>
              <w:t>越高越好、越低越好、目标区间、中性监测</w:t>
            </w:r>
          </w:p>
        </w:tc>
      </w:tr>
      <w:tr>
        <w:tc>
          <w:tcPr>
            <w:tcW w:type="dxa" w:w="2200"/>
            <w:vAlign w:val="center"/>
          </w:tcPr>
          <w:p>
            <w:pPr>
              <w:spacing w:after="0" w:line="252" w:lineRule="auto"/>
              <w:jc w:val="left"/>
            </w:pPr>
            <w:r>
              <w:rPr>
                <w:rFonts w:ascii="Arial" w:hAnsi="Arial" w:eastAsia="Microsoft YaHei"/>
                <w:b w:val="0"/>
                <w:i w:val="0"/>
                <w:color w:val="1A1A1A"/>
                <w:sz w:val="17"/>
              </w:rPr>
              <w:t>证据不足</w:t>
            </w:r>
          </w:p>
        </w:tc>
        <w:tc>
          <w:tcPr>
            <w:tcW w:type="dxa" w:w="1500"/>
            <w:vAlign w:val="center"/>
          </w:tcPr>
          <w:p>
            <w:pPr>
              <w:spacing w:after="0" w:line="252" w:lineRule="auto"/>
              <w:jc w:val="left"/>
            </w:pPr>
            <w:r>
              <w:rPr>
                <w:rFonts w:ascii="Arial" w:hAnsi="Arial" w:eastAsia="Microsoft YaHei"/>
                <w:b w:val="0"/>
                <w:i w:val="0"/>
                <w:color w:val="1A1A1A"/>
                <w:sz w:val="17"/>
              </w:rPr>
              <w:t>8</w:t>
            </w:r>
          </w:p>
        </w:tc>
        <w:tc>
          <w:tcPr>
            <w:tcW w:type="dxa" w:w="5660"/>
            <w:vAlign w:val="center"/>
          </w:tcPr>
          <w:p>
            <w:pPr>
              <w:spacing w:after="0" w:line="252" w:lineRule="auto"/>
              <w:jc w:val="left"/>
            </w:pPr>
            <w:r>
              <w:rPr>
                <w:rFonts w:ascii="Arial" w:hAnsi="Arial" w:eastAsia="Microsoft YaHei"/>
                <w:b w:val="0"/>
                <w:i w:val="0"/>
                <w:color w:val="1A1A1A"/>
                <w:sz w:val="17"/>
              </w:rPr>
              <w:t>缺数据、冲突数据、版本不一致</w:t>
            </w:r>
          </w:p>
        </w:tc>
      </w:tr>
      <w:tr>
        <w:tc>
          <w:tcPr>
            <w:tcW w:type="dxa" w:w="2200"/>
            <w:vAlign w:val="center"/>
          </w:tcPr>
          <w:p>
            <w:pPr>
              <w:spacing w:after="0" w:line="252" w:lineRule="auto"/>
              <w:jc w:val="left"/>
            </w:pPr>
            <w:r>
              <w:rPr>
                <w:rFonts w:ascii="Arial" w:hAnsi="Arial" w:eastAsia="Microsoft YaHei"/>
                <w:b w:val="0"/>
                <w:i w:val="0"/>
                <w:color w:val="1A1A1A"/>
                <w:sz w:val="17"/>
              </w:rPr>
              <w:t>安全边界</w:t>
            </w:r>
          </w:p>
        </w:tc>
        <w:tc>
          <w:tcPr>
            <w:tcW w:type="dxa" w:w="1500"/>
            <w:vAlign w:val="center"/>
          </w:tcPr>
          <w:p>
            <w:pPr>
              <w:spacing w:after="0" w:line="252" w:lineRule="auto"/>
              <w:jc w:val="left"/>
            </w:pPr>
            <w:r>
              <w:rPr>
                <w:rFonts w:ascii="Arial" w:hAnsi="Arial" w:eastAsia="Microsoft YaHei"/>
                <w:b w:val="0"/>
                <w:i w:val="0"/>
                <w:color w:val="1A1A1A"/>
                <w:sz w:val="17"/>
              </w:rPr>
              <w:t>10</w:t>
            </w:r>
          </w:p>
        </w:tc>
        <w:tc>
          <w:tcPr>
            <w:tcW w:type="dxa" w:w="5660"/>
            <w:vAlign w:val="center"/>
          </w:tcPr>
          <w:p>
            <w:pPr>
              <w:spacing w:after="0" w:line="252" w:lineRule="auto"/>
              <w:jc w:val="left"/>
            </w:pPr>
            <w:r>
              <w:rPr>
                <w:rFonts w:ascii="Arial" w:hAnsi="Arial" w:eastAsia="Microsoft YaHei"/>
                <w:b w:val="0"/>
                <w:i w:val="0"/>
                <w:color w:val="1A1A1A"/>
                <w:sz w:val="17"/>
              </w:rPr>
              <w:t>提示注入、越权机构、敏感信息请求</w:t>
            </w:r>
          </w:p>
        </w:tc>
      </w:tr>
      <w:tr>
        <w:tc>
          <w:tcPr>
            <w:tcW w:type="dxa" w:w="2200"/>
            <w:vAlign w:val="center"/>
          </w:tcPr>
          <w:p>
            <w:pPr>
              <w:spacing w:after="0" w:line="252" w:lineRule="auto"/>
              <w:jc w:val="left"/>
            </w:pPr>
            <w:r>
              <w:rPr>
                <w:rFonts w:ascii="Arial" w:hAnsi="Arial" w:eastAsia="Microsoft YaHei"/>
                <w:b w:val="0"/>
                <w:i w:val="0"/>
                <w:color w:val="1A1A1A"/>
                <w:sz w:val="17"/>
              </w:rPr>
              <w:t>建议质量</w:t>
            </w:r>
          </w:p>
        </w:tc>
        <w:tc>
          <w:tcPr>
            <w:tcW w:type="dxa" w:w="1500"/>
            <w:vAlign w:val="center"/>
          </w:tcPr>
          <w:p>
            <w:pPr>
              <w:spacing w:after="0" w:line="252" w:lineRule="auto"/>
              <w:jc w:val="left"/>
            </w:pPr>
            <w:r>
              <w:rPr>
                <w:rFonts w:ascii="Arial" w:hAnsi="Arial" w:eastAsia="Microsoft YaHei"/>
                <w:b w:val="0"/>
                <w:i w:val="0"/>
                <w:color w:val="1A1A1A"/>
                <w:sz w:val="17"/>
              </w:rPr>
              <w:t>10</w:t>
            </w:r>
          </w:p>
        </w:tc>
        <w:tc>
          <w:tcPr>
            <w:tcW w:type="dxa" w:w="5660"/>
            <w:vAlign w:val="center"/>
          </w:tcPr>
          <w:p>
            <w:pPr>
              <w:spacing w:after="0" w:line="252" w:lineRule="auto"/>
              <w:jc w:val="left"/>
            </w:pPr>
            <w:r>
              <w:rPr>
                <w:rFonts w:ascii="Arial" w:hAnsi="Arial" w:eastAsia="Microsoft YaHei"/>
                <w:b w:val="0"/>
                <w:i w:val="0"/>
                <w:color w:val="1A1A1A"/>
                <w:sz w:val="17"/>
              </w:rPr>
              <w:t>建议与指标方向不一致、无法执行、缺责任角色</w:t>
            </w:r>
          </w:p>
        </w:tc>
      </w:tr>
      <w:tr>
        <w:tc>
          <w:tcPr>
            <w:tcW w:type="dxa" w:w="2200"/>
            <w:vAlign w:val="center"/>
          </w:tcPr>
          <w:p>
            <w:pPr>
              <w:spacing w:after="0" w:line="252" w:lineRule="auto"/>
              <w:jc w:val="left"/>
            </w:pPr>
            <w:r>
              <w:rPr>
                <w:rFonts w:ascii="Arial" w:hAnsi="Arial" w:eastAsia="Microsoft YaHei"/>
                <w:b w:val="0"/>
                <w:i w:val="0"/>
                <w:color w:val="1A1A1A"/>
                <w:sz w:val="17"/>
              </w:rPr>
              <w:t>模型异常</w:t>
            </w:r>
          </w:p>
        </w:tc>
        <w:tc>
          <w:tcPr>
            <w:tcW w:type="dxa" w:w="1500"/>
            <w:vAlign w:val="center"/>
          </w:tcPr>
          <w:p>
            <w:pPr>
              <w:spacing w:after="0" w:line="252" w:lineRule="auto"/>
              <w:jc w:val="left"/>
            </w:pPr>
            <w:r>
              <w:rPr>
                <w:rFonts w:ascii="Arial" w:hAnsi="Arial" w:eastAsia="Microsoft YaHei"/>
                <w:b w:val="0"/>
                <w:i w:val="0"/>
                <w:color w:val="1A1A1A"/>
                <w:sz w:val="17"/>
              </w:rPr>
              <w:t>7</w:t>
            </w:r>
          </w:p>
        </w:tc>
        <w:tc>
          <w:tcPr>
            <w:tcW w:type="dxa" w:w="5660"/>
            <w:vAlign w:val="center"/>
          </w:tcPr>
          <w:p>
            <w:pPr>
              <w:spacing w:after="0" w:line="252" w:lineRule="auto"/>
              <w:jc w:val="left"/>
            </w:pPr>
            <w:r>
              <w:rPr>
                <w:rFonts w:ascii="Arial" w:hAnsi="Arial" w:eastAsia="Microsoft YaHei"/>
                <w:b w:val="0"/>
                <w:i w:val="0"/>
                <w:color w:val="1A1A1A"/>
                <w:sz w:val="17"/>
              </w:rPr>
              <w:t>超时、限流、拒答、非 JSON、截断</w:t>
            </w:r>
          </w:p>
        </w:tc>
      </w:tr>
    </w:tbl>
    <w:p>
      <w:pPr>
        <w:spacing w:after="0"/>
      </w:pPr>
    </w:p>
    <w:p>
      <w:pPr>
        <w:pStyle w:val="Heading2"/>
      </w:pPr>
      <w:r>
        <w:t>8.2 自动评分规则</w:t>
      </w:r>
    </w:p>
    <w:p>
      <w:pPr>
        <w:spacing w:after="80"/>
        <w:numPr>
          <w:ilvl w:val="0"/>
          <w:numId w:val="41"/>
        </w:numPr>
      </w:pPr>
      <w:r>
        <w:rPr>
          <w:rFonts w:ascii="Arial" w:hAnsi="Arial" w:eastAsia="Microsoft YaHei"/>
          <w:b w:val="0"/>
          <w:i w:val="0"/>
          <w:color w:val="1A1A1A"/>
          <w:sz w:val="21"/>
        </w:rPr>
        <w:t>Schema 成功率：输出字段和类型完全符合版本化 Schema。</w:t>
      </w:r>
    </w:p>
    <w:p>
      <w:pPr>
        <w:spacing w:after="80"/>
        <w:numPr>
          <w:ilvl w:val="0"/>
          <w:numId w:val="41"/>
        </w:numPr>
      </w:pPr>
      <w:r>
        <w:rPr>
          <w:rFonts w:ascii="Arial" w:hAnsi="Arial" w:eastAsia="Microsoft YaHei"/>
          <w:b w:val="0"/>
          <w:i w:val="0"/>
          <w:color w:val="1A1A1A"/>
          <w:sz w:val="21"/>
        </w:rPr>
        <w:t>数字准确率：所有数字均能在证据或确定性工具结果中找到等价值。</w:t>
      </w:r>
    </w:p>
    <w:p>
      <w:pPr>
        <w:spacing w:after="80"/>
        <w:numPr>
          <w:ilvl w:val="0"/>
          <w:numId w:val="41"/>
        </w:numPr>
      </w:pPr>
      <w:r>
        <w:rPr>
          <w:rFonts w:ascii="Arial" w:hAnsi="Arial" w:eastAsia="Microsoft YaHei"/>
          <w:b w:val="0"/>
          <w:i w:val="0"/>
          <w:color w:val="1A1A1A"/>
          <w:sz w:val="21"/>
        </w:rPr>
        <w:t>证据有效率：evidenceId 存在、属于当前机构与周期，并支持对应陈述。</w:t>
      </w:r>
    </w:p>
    <w:p>
      <w:pPr>
        <w:spacing w:after="80"/>
        <w:numPr>
          <w:ilvl w:val="0"/>
          <w:numId w:val="41"/>
        </w:numPr>
      </w:pPr>
      <w:r>
        <w:rPr>
          <w:rFonts w:ascii="Arial" w:hAnsi="Arial" w:eastAsia="Microsoft YaHei"/>
          <w:b w:val="0"/>
          <w:i w:val="0"/>
          <w:color w:val="1A1A1A"/>
          <w:sz w:val="21"/>
        </w:rPr>
        <w:t>无依据结论率：结论不能由给定证据支持的比例。</w:t>
      </w:r>
    </w:p>
    <w:p>
      <w:pPr>
        <w:spacing w:after="80"/>
        <w:numPr>
          <w:ilvl w:val="0"/>
          <w:numId w:val="41"/>
        </w:numPr>
      </w:pPr>
      <w:r>
        <w:rPr>
          <w:rFonts w:ascii="Arial" w:hAnsi="Arial" w:eastAsia="Microsoft YaHei"/>
          <w:b w:val="0"/>
          <w:i w:val="0"/>
          <w:color w:val="1A1A1A"/>
          <w:sz w:val="21"/>
        </w:rPr>
        <w:t>建议完整率：包含指标、方向、动作、责任角色、周期和证据。</w:t>
      </w:r>
    </w:p>
    <w:p>
      <w:pPr>
        <w:spacing w:after="80"/>
        <w:numPr>
          <w:ilvl w:val="0"/>
          <w:numId w:val="41"/>
        </w:numPr>
      </w:pPr>
      <w:r>
        <w:rPr>
          <w:rFonts w:ascii="Arial" w:hAnsi="Arial" w:eastAsia="Microsoft YaHei"/>
          <w:b w:val="0"/>
          <w:i w:val="0"/>
          <w:color w:val="1A1A1A"/>
          <w:sz w:val="21"/>
        </w:rPr>
        <w:t>降级成功率：模型不可用时规则结果仍可展示且不丢失业务流程。</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shd w:fill="FDECEC"/>
          </w:tcPr>
          <w:p>
            <w:pPr>
              <w:spacing w:after="0"/>
            </w:pPr>
            <w:r>
              <w:rPr>
                <w:rFonts w:ascii="Arial" w:hAnsi="Arial" w:eastAsia="Microsoft YaHei"/>
                <w:b/>
                <w:i w:val="0"/>
                <w:color w:val="9B1C1C"/>
                <w:sz w:val="21"/>
              </w:rPr>
              <w:t xml:space="preserve">强制阻断条件 </w:t>
            </w:r>
            <w:r>
              <w:rPr>
                <w:rFonts w:ascii="Arial" w:hAnsi="Arial" w:eastAsia="Microsoft YaHei"/>
                <w:b w:val="0"/>
                <w:i w:val="0"/>
                <w:color w:val="9B1C1C"/>
                <w:sz w:val="21"/>
              </w:rPr>
              <w:t>出现跨机构数据泄露、错误经营数字、伪造证据、严重指标方向错误或关键权限绕过时，无论综合分数多少，版本均不得发布。</w:t>
            </w:r>
          </w:p>
        </w:tc>
      </w:tr>
    </w:tbl>
    <w:p>
      <w:pPr>
        <w:spacing w:after="0"/>
      </w:pPr>
    </w:p>
    <w:p>
      <w:pPr>
        <w:pStyle w:val="Heading1"/>
      </w:pPr>
      <w:r>
        <w:t>9. 交互与产品要求</w:t>
      </w:r>
    </w:p>
    <w:p>
      <w:pPr>
        <w:spacing w:after="80"/>
        <w:numPr>
          <w:ilvl w:val="0"/>
          <w:numId w:val="41"/>
        </w:numPr>
      </w:pPr>
      <w:r>
        <w:rPr>
          <w:rFonts w:ascii="Arial" w:hAnsi="Arial" w:eastAsia="Microsoft YaHei"/>
          <w:b w:val="0"/>
          <w:i w:val="0"/>
          <w:color w:val="1A1A1A"/>
          <w:sz w:val="21"/>
        </w:rPr>
        <w:t>用户能够查看智能体当前处于“理解问题、分析中、等待补充、生成结果、已降级”等哪一阶段。</w:t>
      </w:r>
    </w:p>
    <w:p>
      <w:pPr>
        <w:spacing w:after="80"/>
        <w:numPr>
          <w:ilvl w:val="0"/>
          <w:numId w:val="41"/>
        </w:numPr>
      </w:pPr>
      <w:r>
        <w:rPr>
          <w:rFonts w:ascii="Arial" w:hAnsi="Arial" w:eastAsia="Microsoft YaHei"/>
          <w:b w:val="0"/>
          <w:i w:val="0"/>
          <w:color w:val="1A1A1A"/>
          <w:sz w:val="21"/>
        </w:rPr>
        <w:t>默认向用户展示结论与证据，不强制暴露冗长思维过程；可展开查看计划步骤和工具结果摘要。</w:t>
      </w:r>
    </w:p>
    <w:p>
      <w:pPr>
        <w:spacing w:after="80"/>
        <w:numPr>
          <w:ilvl w:val="0"/>
          <w:numId w:val="41"/>
        </w:numPr>
      </w:pPr>
      <w:r>
        <w:rPr>
          <w:rFonts w:ascii="Arial" w:hAnsi="Arial" w:eastAsia="Microsoft YaHei"/>
          <w:b w:val="0"/>
          <w:i w:val="0"/>
          <w:color w:val="1A1A1A"/>
          <w:sz w:val="21"/>
        </w:rPr>
        <w:t>事实、推断和建议必须采用不同视觉标签，避免用户将推断误认为事实。</w:t>
      </w:r>
    </w:p>
    <w:p>
      <w:pPr>
        <w:spacing w:after="80"/>
        <w:numPr>
          <w:ilvl w:val="0"/>
          <w:numId w:val="41"/>
        </w:numPr>
      </w:pPr>
      <w:r>
        <w:rPr>
          <w:rFonts w:ascii="Arial" w:hAnsi="Arial" w:eastAsia="Microsoft YaHei"/>
          <w:b w:val="0"/>
          <w:i w:val="0"/>
          <w:color w:val="1A1A1A"/>
          <w:sz w:val="21"/>
        </w:rPr>
        <w:t>每个关键数字均可点击打开证据抽屉，显示来源、周期、口径、公式版本和对标对象。</w:t>
      </w:r>
    </w:p>
    <w:p>
      <w:pPr>
        <w:spacing w:after="80"/>
        <w:numPr>
          <w:ilvl w:val="0"/>
          <w:numId w:val="41"/>
        </w:numPr>
      </w:pPr>
      <w:r>
        <w:rPr>
          <w:rFonts w:ascii="Arial" w:hAnsi="Arial" w:eastAsia="Microsoft YaHei"/>
          <w:b w:val="0"/>
          <w:i w:val="0"/>
          <w:color w:val="1A1A1A"/>
          <w:sz w:val="21"/>
        </w:rPr>
        <w:t>降级时明确告知“当前展示规则诊断，生成式 AI 未参与”，不能伪装成 AI 成功。</w:t>
      </w:r>
    </w:p>
    <w:p>
      <w:pPr>
        <w:spacing w:after="80"/>
        <w:numPr>
          <w:ilvl w:val="0"/>
          <w:numId w:val="41"/>
        </w:numPr>
      </w:pPr>
      <w:r>
        <w:rPr>
          <w:rFonts w:ascii="Arial" w:hAnsi="Arial" w:eastAsia="Microsoft YaHei"/>
          <w:b w:val="0"/>
          <w:i w:val="0"/>
          <w:color w:val="1A1A1A"/>
          <w:sz w:val="21"/>
        </w:rPr>
        <w:t>用户可取消长时间任务；取消后停止后续模型调用，并保留已完成步骤供审计。</w:t>
      </w:r>
    </w:p>
    <w:p>
      <w:pPr>
        <w:pStyle w:val="Heading1"/>
      </w:pPr>
      <w:r>
        <w:t>10. 实施步骤与里程碑</w:t>
      </w:r>
    </w:p>
    <w:tbl>
      <w:tblPr>
        <w:tblStyle w:val="TableGrid"/>
        <w:tblW w:type="dxa" w:w="9360"/>
        <w:jc w:val="left"/>
        <w:tblLayout w:type="fixed"/>
        <w:tblLook w:firstColumn="1" w:firstRow="1" w:lastColumn="0" w:lastRow="0" w:noHBand="0" w:noVBand="1" w:val="04A0"/>
        <w:tblInd w:w="120" w:type="dxa"/>
      </w:tblPr>
      <w:tblGrid>
        <w:gridCol w:w="1800"/>
        <w:gridCol w:w="1300"/>
        <w:gridCol w:w="3800"/>
        <w:gridCol w:w="2460"/>
      </w:tblGrid>
      <w:tr>
        <w:trPr>
          <w:tblHeader w:val="true"/>
        </w:trPr>
        <w:tc>
          <w:tcPr>
            <w:tcW w:type="dxa" w:w="18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阶段</w:t>
            </w:r>
          </w:p>
        </w:tc>
        <w:tc>
          <w:tcPr>
            <w:tcW w:type="dxa" w:w="13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周期</w:t>
            </w:r>
          </w:p>
        </w:tc>
        <w:tc>
          <w:tcPr>
            <w:tcW w:type="dxa" w:w="38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主要工作</w:t>
            </w:r>
          </w:p>
        </w:tc>
        <w:tc>
          <w:tcPr>
            <w:tcW w:type="dxa" w:w="246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退出条件</w:t>
            </w:r>
          </w:p>
        </w:tc>
      </w:tr>
      <w:tr>
        <w:tc>
          <w:tcPr>
            <w:tcW w:type="dxa" w:w="1800"/>
            <w:vAlign w:val="center"/>
          </w:tcPr>
          <w:p>
            <w:pPr>
              <w:spacing w:after="0" w:line="252" w:lineRule="auto"/>
              <w:jc w:val="left"/>
            </w:pPr>
            <w:r>
              <w:rPr>
                <w:rFonts w:ascii="Arial" w:hAnsi="Arial" w:eastAsia="Microsoft YaHei"/>
                <w:b w:val="0"/>
                <w:i w:val="0"/>
                <w:color w:val="1A1A1A"/>
                <w:sz w:val="16"/>
              </w:rPr>
              <w:t>阶段 0：基线冻结</w:t>
            </w:r>
          </w:p>
        </w:tc>
        <w:tc>
          <w:tcPr>
            <w:tcW w:type="dxa" w:w="1300"/>
            <w:vAlign w:val="center"/>
          </w:tcPr>
          <w:p>
            <w:pPr>
              <w:spacing w:after="0" w:line="252" w:lineRule="auto"/>
              <w:jc w:val="left"/>
            </w:pPr>
            <w:r>
              <w:rPr>
                <w:rFonts w:ascii="Arial" w:hAnsi="Arial" w:eastAsia="Microsoft YaHei"/>
                <w:b w:val="0"/>
                <w:i w:val="0"/>
                <w:color w:val="1A1A1A"/>
                <w:sz w:val="16"/>
              </w:rPr>
              <w:t>第 1 周</w:t>
            </w:r>
          </w:p>
        </w:tc>
        <w:tc>
          <w:tcPr>
            <w:tcW w:type="dxa" w:w="3800"/>
            <w:vAlign w:val="center"/>
          </w:tcPr>
          <w:p>
            <w:pPr>
              <w:spacing w:after="0" w:line="252" w:lineRule="auto"/>
              <w:jc w:val="left"/>
            </w:pPr>
            <w:r>
              <w:rPr>
                <w:rFonts w:ascii="Arial" w:hAnsi="Arial" w:eastAsia="Microsoft YaHei"/>
                <w:b w:val="0"/>
                <w:i w:val="0"/>
                <w:color w:val="1A1A1A"/>
                <w:sz w:val="16"/>
              </w:rPr>
              <w:t>冻结 Schema、指标元数据、评测集和发布口径</w:t>
            </w:r>
          </w:p>
        </w:tc>
        <w:tc>
          <w:tcPr>
            <w:tcW w:type="dxa" w:w="2460"/>
            <w:vAlign w:val="center"/>
          </w:tcPr>
          <w:p>
            <w:pPr>
              <w:spacing w:after="0" w:line="252" w:lineRule="auto"/>
              <w:jc w:val="left"/>
            </w:pPr>
            <w:r>
              <w:rPr>
                <w:rFonts w:ascii="Arial" w:hAnsi="Arial" w:eastAsia="Microsoft YaHei"/>
                <w:b w:val="0"/>
                <w:i w:val="0"/>
                <w:color w:val="1A1A1A"/>
                <w:sz w:val="16"/>
              </w:rPr>
              <w:t>基线用例可重复运行</w:t>
            </w:r>
          </w:p>
        </w:tc>
      </w:tr>
      <w:tr>
        <w:tc>
          <w:tcPr>
            <w:tcW w:type="dxa" w:w="1800"/>
            <w:vAlign w:val="center"/>
          </w:tcPr>
          <w:p>
            <w:pPr>
              <w:spacing w:after="0" w:line="252" w:lineRule="auto"/>
              <w:jc w:val="left"/>
            </w:pPr>
            <w:r>
              <w:rPr>
                <w:rFonts w:ascii="Arial" w:hAnsi="Arial" w:eastAsia="Microsoft YaHei"/>
                <w:b w:val="0"/>
                <w:i w:val="0"/>
                <w:color w:val="1A1A1A"/>
                <w:sz w:val="16"/>
              </w:rPr>
              <w:t>阶段 1：P0 修复</w:t>
            </w:r>
          </w:p>
        </w:tc>
        <w:tc>
          <w:tcPr>
            <w:tcW w:type="dxa" w:w="1300"/>
            <w:vAlign w:val="center"/>
          </w:tcPr>
          <w:p>
            <w:pPr>
              <w:spacing w:after="0" w:line="252" w:lineRule="auto"/>
              <w:jc w:val="left"/>
            </w:pPr>
            <w:r>
              <w:rPr>
                <w:rFonts w:ascii="Arial" w:hAnsi="Arial" w:eastAsia="Microsoft YaHei"/>
                <w:b w:val="0"/>
                <w:i w:val="0"/>
                <w:color w:val="1A1A1A"/>
                <w:sz w:val="16"/>
              </w:rPr>
              <w:t>第 1–2 周</w:t>
            </w:r>
          </w:p>
        </w:tc>
        <w:tc>
          <w:tcPr>
            <w:tcW w:type="dxa" w:w="3800"/>
            <w:vAlign w:val="center"/>
          </w:tcPr>
          <w:p>
            <w:pPr>
              <w:spacing w:after="0" w:line="252" w:lineRule="auto"/>
              <w:jc w:val="left"/>
            </w:pPr>
            <w:r>
              <w:rPr>
                <w:rFonts w:ascii="Arial" w:hAnsi="Arial" w:eastAsia="Microsoft YaHei"/>
                <w:b w:val="0"/>
                <w:i w:val="0"/>
                <w:color w:val="1A1A1A"/>
                <w:sz w:val="16"/>
              </w:rPr>
              <w:t>评测门禁、追问校验、权限与数据隔离、事务</w:t>
            </w:r>
          </w:p>
        </w:tc>
        <w:tc>
          <w:tcPr>
            <w:tcW w:type="dxa" w:w="2460"/>
            <w:vAlign w:val="center"/>
          </w:tcPr>
          <w:p>
            <w:pPr>
              <w:spacing w:after="0" w:line="252" w:lineRule="auto"/>
              <w:jc w:val="left"/>
            </w:pPr>
            <w:r>
              <w:rPr>
                <w:rFonts w:ascii="Arial" w:hAnsi="Arial" w:eastAsia="Microsoft YaHei"/>
                <w:b w:val="0"/>
                <w:i w:val="0"/>
                <w:color w:val="1A1A1A"/>
                <w:sz w:val="16"/>
              </w:rPr>
              <w:t>P0 测试全绿，无严重风险</w:t>
            </w:r>
          </w:p>
        </w:tc>
      </w:tr>
      <w:tr>
        <w:tc>
          <w:tcPr>
            <w:tcW w:type="dxa" w:w="1800"/>
            <w:vAlign w:val="center"/>
          </w:tcPr>
          <w:p>
            <w:pPr>
              <w:spacing w:after="0" w:line="252" w:lineRule="auto"/>
              <w:jc w:val="left"/>
            </w:pPr>
            <w:r>
              <w:rPr>
                <w:rFonts w:ascii="Arial" w:hAnsi="Arial" w:eastAsia="Microsoft YaHei"/>
                <w:b w:val="0"/>
                <w:i w:val="0"/>
                <w:color w:val="1A1A1A"/>
                <w:sz w:val="16"/>
              </w:rPr>
              <w:t>阶段 2：智能体内核</w:t>
            </w:r>
          </w:p>
        </w:tc>
        <w:tc>
          <w:tcPr>
            <w:tcW w:type="dxa" w:w="1300"/>
            <w:vAlign w:val="center"/>
          </w:tcPr>
          <w:p>
            <w:pPr>
              <w:spacing w:after="0" w:line="252" w:lineRule="auto"/>
              <w:jc w:val="left"/>
            </w:pPr>
            <w:r>
              <w:rPr>
                <w:rFonts w:ascii="Arial" w:hAnsi="Arial" w:eastAsia="Microsoft YaHei"/>
                <w:b w:val="0"/>
                <w:i w:val="0"/>
                <w:color w:val="1A1A1A"/>
                <w:sz w:val="16"/>
              </w:rPr>
              <w:t>第 3–5 周</w:t>
            </w:r>
          </w:p>
        </w:tc>
        <w:tc>
          <w:tcPr>
            <w:tcW w:type="dxa" w:w="3800"/>
            <w:vAlign w:val="center"/>
          </w:tcPr>
          <w:p>
            <w:pPr>
              <w:spacing w:after="0" w:line="252" w:lineRule="auto"/>
              <w:jc w:val="left"/>
            </w:pPr>
            <w:r>
              <w:rPr>
                <w:rFonts w:ascii="Arial" w:hAnsi="Arial" w:eastAsia="Microsoft YaHei"/>
                <w:b w:val="0"/>
                <w:i w:val="0"/>
                <w:color w:val="1A1A1A"/>
                <w:sz w:val="16"/>
              </w:rPr>
              <w:t>目标解析、计划器、工具注册、状态机、自检纠错</w:t>
            </w:r>
          </w:p>
        </w:tc>
        <w:tc>
          <w:tcPr>
            <w:tcW w:type="dxa" w:w="2460"/>
            <w:vAlign w:val="center"/>
          </w:tcPr>
          <w:p>
            <w:pPr>
              <w:spacing w:after="0" w:line="252" w:lineRule="auto"/>
              <w:jc w:val="left"/>
            </w:pPr>
            <w:r>
              <w:rPr>
                <w:rFonts w:ascii="Arial" w:hAnsi="Arial" w:eastAsia="Microsoft YaHei"/>
                <w:b w:val="0"/>
                <w:i w:val="0"/>
                <w:color w:val="1A1A1A"/>
                <w:sz w:val="16"/>
              </w:rPr>
              <w:t>标准任务可端到端执行</w:t>
            </w:r>
          </w:p>
        </w:tc>
      </w:tr>
      <w:tr>
        <w:tc>
          <w:tcPr>
            <w:tcW w:type="dxa" w:w="1800"/>
            <w:vAlign w:val="center"/>
          </w:tcPr>
          <w:p>
            <w:pPr>
              <w:spacing w:after="0" w:line="252" w:lineRule="auto"/>
              <w:jc w:val="left"/>
            </w:pPr>
            <w:r>
              <w:rPr>
                <w:rFonts w:ascii="Arial" w:hAnsi="Arial" w:eastAsia="Microsoft YaHei"/>
                <w:b w:val="0"/>
                <w:i w:val="0"/>
                <w:color w:val="1A1A1A"/>
                <w:sz w:val="16"/>
              </w:rPr>
              <w:t>阶段 3：闭环增强</w:t>
            </w:r>
          </w:p>
        </w:tc>
        <w:tc>
          <w:tcPr>
            <w:tcW w:type="dxa" w:w="1300"/>
            <w:vAlign w:val="center"/>
          </w:tcPr>
          <w:p>
            <w:pPr>
              <w:spacing w:after="0" w:line="252" w:lineRule="auto"/>
              <w:jc w:val="left"/>
            </w:pPr>
            <w:r>
              <w:rPr>
                <w:rFonts w:ascii="Arial" w:hAnsi="Arial" w:eastAsia="Microsoft YaHei"/>
                <w:b w:val="0"/>
                <w:i w:val="0"/>
                <w:color w:val="1A1A1A"/>
                <w:sz w:val="16"/>
              </w:rPr>
              <w:t>第 5–6 周</w:t>
            </w:r>
          </w:p>
        </w:tc>
        <w:tc>
          <w:tcPr>
            <w:tcW w:type="dxa" w:w="3800"/>
            <w:vAlign w:val="center"/>
          </w:tcPr>
          <w:p>
            <w:pPr>
              <w:spacing w:after="0" w:line="252" w:lineRule="auto"/>
              <w:jc w:val="left"/>
            </w:pPr>
            <w:r>
              <w:rPr>
                <w:rFonts w:ascii="Arial" w:hAnsi="Arial" w:eastAsia="Microsoft YaHei"/>
                <w:b w:val="0"/>
                <w:i w:val="0"/>
                <w:color w:val="1A1A1A"/>
                <w:sz w:val="16"/>
              </w:rPr>
              <w:t>受控记忆、建议转任务、复盘增强</w:t>
            </w:r>
          </w:p>
        </w:tc>
        <w:tc>
          <w:tcPr>
            <w:tcW w:type="dxa" w:w="2460"/>
            <w:vAlign w:val="center"/>
          </w:tcPr>
          <w:p>
            <w:pPr>
              <w:spacing w:after="0" w:line="252" w:lineRule="auto"/>
              <w:jc w:val="left"/>
            </w:pPr>
            <w:r>
              <w:rPr>
                <w:rFonts w:ascii="Arial" w:hAnsi="Arial" w:eastAsia="Microsoft YaHei"/>
                <w:b w:val="0"/>
                <w:i w:val="0"/>
                <w:color w:val="1A1A1A"/>
                <w:sz w:val="16"/>
              </w:rPr>
              <w:t>任务字段完整率达标</w:t>
            </w:r>
          </w:p>
        </w:tc>
      </w:tr>
      <w:tr>
        <w:tc>
          <w:tcPr>
            <w:tcW w:type="dxa" w:w="1800"/>
            <w:vAlign w:val="center"/>
          </w:tcPr>
          <w:p>
            <w:pPr>
              <w:spacing w:after="0" w:line="252" w:lineRule="auto"/>
              <w:jc w:val="left"/>
            </w:pPr>
            <w:r>
              <w:rPr>
                <w:rFonts w:ascii="Arial" w:hAnsi="Arial" w:eastAsia="Microsoft YaHei"/>
                <w:b w:val="0"/>
                <w:i w:val="0"/>
                <w:color w:val="1A1A1A"/>
                <w:sz w:val="16"/>
              </w:rPr>
              <w:t>阶段 4：受控试点</w:t>
            </w:r>
          </w:p>
        </w:tc>
        <w:tc>
          <w:tcPr>
            <w:tcW w:type="dxa" w:w="1300"/>
            <w:vAlign w:val="center"/>
          </w:tcPr>
          <w:p>
            <w:pPr>
              <w:spacing w:after="0" w:line="252" w:lineRule="auto"/>
              <w:jc w:val="left"/>
            </w:pPr>
            <w:r>
              <w:rPr>
                <w:rFonts w:ascii="Arial" w:hAnsi="Arial" w:eastAsia="Microsoft YaHei"/>
                <w:b w:val="0"/>
                <w:i w:val="0"/>
                <w:color w:val="1A1A1A"/>
                <w:sz w:val="16"/>
              </w:rPr>
              <w:t>第 7–8 周</w:t>
            </w:r>
          </w:p>
        </w:tc>
        <w:tc>
          <w:tcPr>
            <w:tcW w:type="dxa" w:w="3800"/>
            <w:vAlign w:val="center"/>
          </w:tcPr>
          <w:p>
            <w:pPr>
              <w:spacing w:after="0" w:line="252" w:lineRule="auto"/>
              <w:jc w:val="left"/>
            </w:pPr>
            <w:r>
              <w:rPr>
                <w:rFonts w:ascii="Arial" w:hAnsi="Arial" w:eastAsia="Microsoft YaHei"/>
                <w:b w:val="0"/>
                <w:i w:val="0"/>
                <w:color w:val="1A1A1A"/>
                <w:sz w:val="16"/>
              </w:rPr>
              <w:t>脱敏真实数据、业务专家验收、反馈迭代</w:t>
            </w:r>
          </w:p>
        </w:tc>
        <w:tc>
          <w:tcPr>
            <w:tcW w:type="dxa" w:w="2460"/>
            <w:vAlign w:val="center"/>
          </w:tcPr>
          <w:p>
            <w:pPr>
              <w:spacing w:after="0" w:line="252" w:lineRule="auto"/>
              <w:jc w:val="left"/>
            </w:pPr>
            <w:r>
              <w:rPr>
                <w:rFonts w:ascii="Arial" w:hAnsi="Arial" w:eastAsia="Microsoft YaHei"/>
                <w:b w:val="0"/>
                <w:i w:val="0"/>
                <w:color w:val="1A1A1A"/>
                <w:sz w:val="16"/>
              </w:rPr>
              <w:t>发布门禁和试点指标达标</w:t>
            </w:r>
          </w:p>
        </w:tc>
      </w:tr>
    </w:tbl>
    <w:p>
      <w:pPr>
        <w:spacing w:after="0"/>
      </w:pPr>
    </w:p>
    <w:p>
      <w:pPr>
        <w:pStyle w:val="Heading2"/>
      </w:pPr>
      <w:r>
        <w:t>10.1 建议研发任务拆分</w:t>
      </w:r>
    </w:p>
    <w:tbl>
      <w:tblPr>
        <w:tblStyle w:val="TableGrid"/>
        <w:tblW w:type="dxa" w:w="9360"/>
        <w:jc w:val="left"/>
        <w:tblLayout w:type="fixed"/>
        <w:tblLook w:firstColumn="1" w:firstRow="1" w:lastColumn="0" w:lastRow="0" w:noHBand="0" w:noVBand="1" w:val="04A0"/>
        <w:tblInd w:w="120" w:type="dxa"/>
      </w:tblPr>
      <w:tblGrid>
        <w:gridCol w:w="2100"/>
        <w:gridCol w:w="4500"/>
        <w:gridCol w:w="2760"/>
      </w:tblGrid>
      <w:tr>
        <w:trPr>
          <w:tblHeader w:val="true"/>
        </w:trPr>
        <w:tc>
          <w:tcPr>
            <w:tcW w:type="dxa" w:w="21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工作包</w:t>
            </w:r>
          </w:p>
        </w:tc>
        <w:tc>
          <w:tcPr>
            <w:tcW w:type="dxa" w:w="45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主要产物</w:t>
            </w:r>
          </w:p>
        </w:tc>
        <w:tc>
          <w:tcPr>
            <w:tcW w:type="dxa" w:w="276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建议负责人</w:t>
            </w:r>
          </w:p>
        </w:tc>
      </w:tr>
      <w:tr>
        <w:tc>
          <w:tcPr>
            <w:tcW w:type="dxa" w:w="2100"/>
            <w:vAlign w:val="center"/>
          </w:tcPr>
          <w:p>
            <w:pPr>
              <w:spacing w:after="0" w:line="252" w:lineRule="auto"/>
              <w:jc w:val="left"/>
            </w:pPr>
            <w:r>
              <w:rPr>
                <w:rFonts w:ascii="Arial" w:hAnsi="Arial" w:eastAsia="Microsoft YaHei"/>
                <w:b w:val="0"/>
                <w:i w:val="0"/>
                <w:color w:val="1A1A1A"/>
                <w:sz w:val="17"/>
              </w:rPr>
              <w:t>WP1 评测与校验</w:t>
            </w:r>
          </w:p>
        </w:tc>
        <w:tc>
          <w:tcPr>
            <w:tcW w:type="dxa" w:w="4500"/>
            <w:vAlign w:val="center"/>
          </w:tcPr>
          <w:p>
            <w:pPr>
              <w:spacing w:after="0" w:line="252" w:lineRule="auto"/>
              <w:jc w:val="left"/>
            </w:pPr>
            <w:r>
              <w:rPr>
                <w:rFonts w:ascii="Arial" w:hAnsi="Arial" w:eastAsia="Microsoft YaHei"/>
                <w:b w:val="0"/>
                <w:i w:val="0"/>
                <w:color w:val="1A1A1A"/>
                <w:sz w:val="17"/>
              </w:rPr>
              <w:t>验证器、评分器、回归集、发布报告</w:t>
            </w:r>
          </w:p>
        </w:tc>
        <w:tc>
          <w:tcPr>
            <w:tcW w:type="dxa" w:w="2760"/>
            <w:vAlign w:val="center"/>
          </w:tcPr>
          <w:p>
            <w:pPr>
              <w:spacing w:after="0" w:line="252" w:lineRule="auto"/>
              <w:jc w:val="left"/>
            </w:pPr>
            <w:r>
              <w:rPr>
                <w:rFonts w:ascii="Arial" w:hAnsi="Arial" w:eastAsia="Microsoft YaHei"/>
                <w:b w:val="0"/>
                <w:i w:val="0"/>
                <w:color w:val="1A1A1A"/>
                <w:sz w:val="17"/>
              </w:rPr>
              <w:t>AI/后端/测试</w:t>
            </w:r>
          </w:p>
        </w:tc>
      </w:tr>
      <w:tr>
        <w:tc>
          <w:tcPr>
            <w:tcW w:type="dxa" w:w="2100"/>
            <w:vAlign w:val="center"/>
          </w:tcPr>
          <w:p>
            <w:pPr>
              <w:spacing w:after="0" w:line="252" w:lineRule="auto"/>
              <w:jc w:val="left"/>
            </w:pPr>
            <w:r>
              <w:rPr>
                <w:rFonts w:ascii="Arial" w:hAnsi="Arial" w:eastAsia="Microsoft YaHei"/>
                <w:b w:val="0"/>
                <w:i w:val="0"/>
                <w:color w:val="1A1A1A"/>
                <w:sz w:val="17"/>
              </w:rPr>
              <w:t>WP2 智能体编排</w:t>
            </w:r>
          </w:p>
        </w:tc>
        <w:tc>
          <w:tcPr>
            <w:tcW w:type="dxa" w:w="4500"/>
            <w:vAlign w:val="center"/>
          </w:tcPr>
          <w:p>
            <w:pPr>
              <w:spacing w:after="0" w:line="252" w:lineRule="auto"/>
              <w:jc w:val="left"/>
            </w:pPr>
            <w:r>
              <w:rPr>
                <w:rFonts w:ascii="Arial" w:hAnsi="Arial" w:eastAsia="Microsoft YaHei"/>
                <w:b w:val="0"/>
                <w:i w:val="0"/>
                <w:color w:val="1A1A1A"/>
                <w:sz w:val="17"/>
              </w:rPr>
              <w:t>计划器、工具注册、状态机、执行记录</w:t>
            </w:r>
          </w:p>
        </w:tc>
        <w:tc>
          <w:tcPr>
            <w:tcW w:type="dxa" w:w="2760"/>
            <w:vAlign w:val="center"/>
          </w:tcPr>
          <w:p>
            <w:pPr>
              <w:spacing w:after="0" w:line="252" w:lineRule="auto"/>
              <w:jc w:val="left"/>
            </w:pPr>
            <w:r>
              <w:rPr>
                <w:rFonts w:ascii="Arial" w:hAnsi="Arial" w:eastAsia="Microsoft YaHei"/>
                <w:b w:val="0"/>
                <w:i w:val="0"/>
                <w:color w:val="1A1A1A"/>
                <w:sz w:val="17"/>
              </w:rPr>
              <w:t>AI/后端</w:t>
            </w:r>
          </w:p>
        </w:tc>
      </w:tr>
      <w:tr>
        <w:tc>
          <w:tcPr>
            <w:tcW w:type="dxa" w:w="2100"/>
            <w:vAlign w:val="center"/>
          </w:tcPr>
          <w:p>
            <w:pPr>
              <w:spacing w:after="0" w:line="252" w:lineRule="auto"/>
              <w:jc w:val="left"/>
            </w:pPr>
            <w:r>
              <w:rPr>
                <w:rFonts w:ascii="Arial" w:hAnsi="Arial" w:eastAsia="Microsoft YaHei"/>
                <w:b w:val="0"/>
                <w:i w:val="0"/>
                <w:color w:val="1A1A1A"/>
                <w:sz w:val="17"/>
              </w:rPr>
              <w:t>WP3 数据与权限</w:t>
            </w:r>
          </w:p>
        </w:tc>
        <w:tc>
          <w:tcPr>
            <w:tcW w:type="dxa" w:w="4500"/>
            <w:vAlign w:val="center"/>
          </w:tcPr>
          <w:p>
            <w:pPr>
              <w:spacing w:after="0" w:line="252" w:lineRule="auto"/>
              <w:jc w:val="left"/>
            </w:pPr>
            <w:r>
              <w:rPr>
                <w:rFonts w:ascii="Arial" w:hAnsi="Arial" w:eastAsia="Microsoft YaHei"/>
                <w:b w:val="0"/>
                <w:i w:val="0"/>
                <w:color w:val="1A1A1A"/>
                <w:sz w:val="17"/>
              </w:rPr>
              <w:t>orgId 隔离、可信代理、事务、审计</w:t>
            </w:r>
          </w:p>
        </w:tc>
        <w:tc>
          <w:tcPr>
            <w:tcW w:type="dxa" w:w="2760"/>
            <w:vAlign w:val="center"/>
          </w:tcPr>
          <w:p>
            <w:pPr>
              <w:spacing w:after="0" w:line="252" w:lineRule="auto"/>
              <w:jc w:val="left"/>
            </w:pPr>
            <w:r>
              <w:rPr>
                <w:rFonts w:ascii="Arial" w:hAnsi="Arial" w:eastAsia="Microsoft YaHei"/>
                <w:b w:val="0"/>
                <w:i w:val="0"/>
                <w:color w:val="1A1A1A"/>
                <w:sz w:val="17"/>
              </w:rPr>
              <w:t>后端/安全</w:t>
            </w:r>
          </w:p>
        </w:tc>
      </w:tr>
      <w:tr>
        <w:tc>
          <w:tcPr>
            <w:tcW w:type="dxa" w:w="2100"/>
            <w:vAlign w:val="center"/>
          </w:tcPr>
          <w:p>
            <w:pPr>
              <w:spacing w:after="0" w:line="252" w:lineRule="auto"/>
              <w:jc w:val="left"/>
            </w:pPr>
            <w:r>
              <w:rPr>
                <w:rFonts w:ascii="Arial" w:hAnsi="Arial" w:eastAsia="Microsoft YaHei"/>
                <w:b w:val="0"/>
                <w:i w:val="0"/>
                <w:color w:val="1A1A1A"/>
                <w:sz w:val="17"/>
              </w:rPr>
              <w:t>WP4 产品交互</w:t>
            </w:r>
          </w:p>
        </w:tc>
        <w:tc>
          <w:tcPr>
            <w:tcW w:type="dxa" w:w="4500"/>
            <w:vAlign w:val="center"/>
          </w:tcPr>
          <w:p>
            <w:pPr>
              <w:spacing w:after="0" w:line="252" w:lineRule="auto"/>
              <w:jc w:val="left"/>
            </w:pPr>
            <w:r>
              <w:rPr>
                <w:rFonts w:ascii="Arial" w:hAnsi="Arial" w:eastAsia="Microsoft YaHei"/>
                <w:b w:val="0"/>
                <w:i w:val="0"/>
                <w:color w:val="1A1A1A"/>
                <w:sz w:val="17"/>
              </w:rPr>
              <w:t>执行状态、证据展示、确认与降级体验</w:t>
            </w:r>
          </w:p>
        </w:tc>
        <w:tc>
          <w:tcPr>
            <w:tcW w:type="dxa" w:w="2760"/>
            <w:vAlign w:val="center"/>
          </w:tcPr>
          <w:p>
            <w:pPr>
              <w:spacing w:after="0" w:line="252" w:lineRule="auto"/>
              <w:jc w:val="left"/>
            </w:pPr>
            <w:r>
              <w:rPr>
                <w:rFonts w:ascii="Arial" w:hAnsi="Arial" w:eastAsia="Microsoft YaHei"/>
                <w:b w:val="0"/>
                <w:i w:val="0"/>
                <w:color w:val="1A1A1A"/>
                <w:sz w:val="17"/>
              </w:rPr>
              <w:t>产品/前端/设计</w:t>
            </w:r>
          </w:p>
        </w:tc>
      </w:tr>
      <w:tr>
        <w:tc>
          <w:tcPr>
            <w:tcW w:type="dxa" w:w="2100"/>
            <w:vAlign w:val="center"/>
          </w:tcPr>
          <w:p>
            <w:pPr>
              <w:spacing w:after="0" w:line="252" w:lineRule="auto"/>
              <w:jc w:val="left"/>
            </w:pPr>
            <w:r>
              <w:rPr>
                <w:rFonts w:ascii="Arial" w:hAnsi="Arial" w:eastAsia="Microsoft YaHei"/>
                <w:b w:val="0"/>
                <w:i w:val="0"/>
                <w:color w:val="1A1A1A"/>
                <w:sz w:val="17"/>
              </w:rPr>
              <w:t>WP5 业务验收</w:t>
            </w:r>
          </w:p>
        </w:tc>
        <w:tc>
          <w:tcPr>
            <w:tcW w:type="dxa" w:w="4500"/>
            <w:vAlign w:val="center"/>
          </w:tcPr>
          <w:p>
            <w:pPr>
              <w:spacing w:after="0" w:line="252" w:lineRule="auto"/>
              <w:jc w:val="left"/>
            </w:pPr>
            <w:r>
              <w:rPr>
                <w:rFonts w:ascii="Arial" w:hAnsi="Arial" w:eastAsia="Microsoft YaHei"/>
                <w:b w:val="0"/>
                <w:i w:val="0"/>
                <w:color w:val="1A1A1A"/>
                <w:sz w:val="17"/>
              </w:rPr>
              <w:t>专家标注、试点用例、反馈闭环</w:t>
            </w:r>
          </w:p>
        </w:tc>
        <w:tc>
          <w:tcPr>
            <w:tcW w:type="dxa" w:w="2760"/>
            <w:vAlign w:val="center"/>
          </w:tcPr>
          <w:p>
            <w:pPr>
              <w:spacing w:after="0" w:line="252" w:lineRule="auto"/>
              <w:jc w:val="left"/>
            </w:pPr>
            <w:r>
              <w:rPr>
                <w:rFonts w:ascii="Arial" w:hAnsi="Arial" w:eastAsia="Microsoft YaHei"/>
                <w:b w:val="0"/>
                <w:i w:val="0"/>
                <w:color w:val="1A1A1A"/>
                <w:sz w:val="17"/>
              </w:rPr>
              <w:t>经营管理/产品/测试</w:t>
            </w:r>
          </w:p>
        </w:tc>
      </w:tr>
    </w:tbl>
    <w:p>
      <w:pPr>
        <w:spacing w:after="0"/>
      </w:pPr>
    </w:p>
    <w:p>
      <w:pPr>
        <w:pStyle w:val="Heading1"/>
      </w:pPr>
      <w:r>
        <w:t>11. 验收标准</w:t>
      </w:r>
    </w:p>
    <w:p>
      <w:pPr>
        <w:pStyle w:val="Heading2"/>
      </w:pPr>
      <w:r>
        <w:t>11.1 P0 验收</w:t>
      </w:r>
    </w:p>
    <w:p>
      <w:pPr>
        <w:spacing w:after="80"/>
        <w:numPr>
          <w:ilvl w:val="0"/>
          <w:numId w:val="41"/>
        </w:numPr>
      </w:pPr>
      <w:r>
        <w:rPr>
          <w:rFonts w:ascii="Arial" w:hAnsi="Arial" w:eastAsia="Microsoft YaHei"/>
          <w:b w:val="0"/>
          <w:i w:val="0"/>
          <w:color w:val="1A1A1A"/>
          <w:sz w:val="21"/>
        </w:rPr>
        <w:t>空对象、错误数字、无效 evidenceId、缺必需结论和禁止结论均能被评测引擎正确识别。</w:t>
      </w:r>
    </w:p>
    <w:p>
      <w:pPr>
        <w:spacing w:after="80"/>
        <w:numPr>
          <w:ilvl w:val="0"/>
          <w:numId w:val="41"/>
        </w:numPr>
      </w:pPr>
      <w:r>
        <w:rPr>
          <w:rFonts w:ascii="Arial" w:hAnsi="Arial" w:eastAsia="Microsoft YaHei"/>
          <w:b w:val="0"/>
          <w:i w:val="0"/>
          <w:color w:val="1A1A1A"/>
          <w:sz w:val="21"/>
        </w:rPr>
        <w:t>诊断解读和追问均通过统一验证器；连续两次验证失败后自动降级。</w:t>
      </w:r>
    </w:p>
    <w:p>
      <w:pPr>
        <w:spacing w:after="80"/>
        <w:numPr>
          <w:ilvl w:val="0"/>
          <w:numId w:val="41"/>
        </w:numPr>
      </w:pPr>
      <w:r>
        <w:rPr>
          <w:rFonts w:ascii="Arial" w:hAnsi="Arial" w:eastAsia="Microsoft YaHei"/>
          <w:b w:val="0"/>
          <w:i w:val="0"/>
          <w:color w:val="1A1A1A"/>
          <w:sz w:val="21"/>
        </w:rPr>
        <w:t>分公司角色无法读取、覆盖或推断其他机构备份、诊断、对话和任务。</w:t>
      </w:r>
    </w:p>
    <w:p>
      <w:pPr>
        <w:spacing w:after="80"/>
        <w:numPr>
          <w:ilvl w:val="0"/>
          <w:numId w:val="41"/>
        </w:numPr>
      </w:pPr>
      <w:r>
        <w:rPr>
          <w:rFonts w:ascii="Arial" w:hAnsi="Arial" w:eastAsia="Microsoft YaHei"/>
          <w:b w:val="0"/>
          <w:i w:val="0"/>
          <w:color w:val="1A1A1A"/>
          <w:sz w:val="21"/>
        </w:rPr>
        <w:t>生产代理模式下，终端伪造身份头不能获得管理员权限。</w:t>
      </w:r>
    </w:p>
    <w:p>
      <w:pPr>
        <w:spacing w:after="80"/>
        <w:numPr>
          <w:ilvl w:val="0"/>
          <w:numId w:val="41"/>
        </w:numPr>
      </w:pPr>
      <w:r>
        <w:rPr>
          <w:rFonts w:ascii="Arial" w:hAnsi="Arial" w:eastAsia="Microsoft YaHei"/>
          <w:b w:val="0"/>
          <w:i w:val="0"/>
          <w:color w:val="1A1A1A"/>
          <w:sz w:val="21"/>
        </w:rPr>
        <w:t>AI 关闭、超时、限流和格式错误时，规则诊断与整改流程仍可用。</w:t>
      </w:r>
    </w:p>
    <w:p>
      <w:pPr>
        <w:pStyle w:val="Heading2"/>
      </w:pPr>
      <w:r>
        <w:t>11.2 智能体工作流验收</w:t>
      </w:r>
    </w:p>
    <w:p>
      <w:pPr>
        <w:spacing w:after="80"/>
        <w:numPr>
          <w:ilvl w:val="0"/>
          <w:numId w:val="41"/>
        </w:numPr>
      </w:pPr>
      <w:r>
        <w:rPr>
          <w:rFonts w:ascii="Arial" w:hAnsi="Arial" w:eastAsia="Microsoft YaHei"/>
          <w:b w:val="0"/>
          <w:i w:val="0"/>
          <w:color w:val="1A1A1A"/>
          <w:sz w:val="21"/>
        </w:rPr>
        <w:t>用户提出复杂经营问题后，系统能够生成可执行计划并选择正确工具。</w:t>
      </w:r>
    </w:p>
    <w:p>
      <w:pPr>
        <w:spacing w:after="80"/>
        <w:numPr>
          <w:ilvl w:val="0"/>
          <w:numId w:val="41"/>
        </w:numPr>
      </w:pPr>
      <w:r>
        <w:rPr>
          <w:rFonts w:ascii="Arial" w:hAnsi="Arial" w:eastAsia="Microsoft YaHei"/>
          <w:b w:val="0"/>
          <w:i w:val="0"/>
          <w:color w:val="1A1A1A"/>
          <w:sz w:val="21"/>
        </w:rPr>
        <w:t>所有经营数字来自工具结果，计划和执行记录可追溯。</w:t>
      </w:r>
    </w:p>
    <w:p>
      <w:pPr>
        <w:spacing w:after="80"/>
        <w:numPr>
          <w:ilvl w:val="0"/>
          <w:numId w:val="41"/>
        </w:numPr>
      </w:pPr>
      <w:r>
        <w:rPr>
          <w:rFonts w:ascii="Arial" w:hAnsi="Arial" w:eastAsia="Microsoft YaHei"/>
          <w:b w:val="0"/>
          <w:i w:val="0"/>
          <w:color w:val="1A1A1A"/>
          <w:sz w:val="21"/>
        </w:rPr>
        <w:t>缺少关键数据时，智能体进入 waiting_user，而不是生成确定性结论。</w:t>
      </w:r>
    </w:p>
    <w:p>
      <w:pPr>
        <w:spacing w:after="80"/>
        <w:numPr>
          <w:ilvl w:val="0"/>
          <w:numId w:val="41"/>
        </w:numPr>
      </w:pPr>
      <w:r>
        <w:rPr>
          <w:rFonts w:ascii="Arial" w:hAnsi="Arial" w:eastAsia="Microsoft YaHei"/>
          <w:b w:val="0"/>
          <w:i w:val="0"/>
          <w:color w:val="1A1A1A"/>
          <w:sz w:val="21"/>
        </w:rPr>
        <w:t>用户确认建议后可创建完整整改任务；未确认前不产生正式任务。</w:t>
      </w:r>
    </w:p>
    <w:p>
      <w:pPr>
        <w:spacing w:after="80"/>
        <w:numPr>
          <w:ilvl w:val="0"/>
          <w:numId w:val="41"/>
        </w:numPr>
      </w:pPr>
      <w:r>
        <w:rPr>
          <w:rFonts w:ascii="Arial" w:hAnsi="Arial" w:eastAsia="Microsoft YaHei"/>
          <w:b w:val="0"/>
          <w:i w:val="0"/>
          <w:color w:val="1A1A1A"/>
          <w:sz w:val="21"/>
        </w:rPr>
        <w:t>任务中断后可恢复，不重复创建诊断、证据或任务记录。</w:t>
      </w:r>
    </w:p>
    <w:p>
      <w:pPr>
        <w:pStyle w:val="Heading1"/>
      </w:pPr>
      <w:r>
        <w:t>12. 风险与应对</w:t>
      </w:r>
    </w:p>
    <w:tbl>
      <w:tblPr>
        <w:tblStyle w:val="TableGrid"/>
        <w:tblW w:type="dxa" w:w="9360"/>
        <w:jc w:val="left"/>
        <w:tblLayout w:type="fixed"/>
        <w:tblLook w:firstColumn="1" w:firstRow="1" w:lastColumn="0" w:lastRow="0" w:noHBand="0" w:noVBand="1" w:val="04A0"/>
        <w:tblInd w:w="120" w:type="dxa"/>
      </w:tblPr>
      <w:tblGrid>
        <w:gridCol w:w="2200"/>
        <w:gridCol w:w="2800"/>
        <w:gridCol w:w="4360"/>
      </w:tblGrid>
      <w:tr>
        <w:trPr>
          <w:tblHeader w:val="true"/>
        </w:trPr>
        <w:tc>
          <w:tcPr>
            <w:tcW w:type="dxa" w:w="22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风险</w:t>
            </w:r>
          </w:p>
        </w:tc>
        <w:tc>
          <w:tcPr>
            <w:tcW w:type="dxa" w:w="28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影响</w:t>
            </w:r>
          </w:p>
        </w:tc>
        <w:tc>
          <w:tcPr>
            <w:tcW w:type="dxa" w:w="436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应对措施</w:t>
            </w:r>
          </w:p>
        </w:tc>
      </w:tr>
      <w:tr>
        <w:tc>
          <w:tcPr>
            <w:tcW w:type="dxa" w:w="2200"/>
            <w:vAlign w:val="center"/>
          </w:tcPr>
          <w:p>
            <w:pPr>
              <w:spacing w:after="0" w:line="252" w:lineRule="auto"/>
              <w:jc w:val="left"/>
            </w:pPr>
            <w:r>
              <w:rPr>
                <w:rFonts w:ascii="Arial" w:hAnsi="Arial" w:eastAsia="Microsoft YaHei"/>
                <w:b w:val="0"/>
                <w:i w:val="0"/>
                <w:color w:val="1A1A1A"/>
                <w:sz w:val="17"/>
              </w:rPr>
              <w:t>模型表现波动</w:t>
            </w:r>
          </w:p>
        </w:tc>
        <w:tc>
          <w:tcPr>
            <w:tcW w:type="dxa" w:w="2800"/>
            <w:vAlign w:val="center"/>
          </w:tcPr>
          <w:p>
            <w:pPr>
              <w:spacing w:after="0" w:line="252" w:lineRule="auto"/>
              <w:jc w:val="left"/>
            </w:pPr>
            <w:r>
              <w:rPr>
                <w:rFonts w:ascii="Arial" w:hAnsi="Arial" w:eastAsia="Microsoft YaHei"/>
                <w:b w:val="0"/>
                <w:i w:val="0"/>
                <w:color w:val="1A1A1A"/>
                <w:sz w:val="17"/>
              </w:rPr>
              <w:t>相同输入输出不稳定</w:t>
            </w:r>
          </w:p>
        </w:tc>
        <w:tc>
          <w:tcPr>
            <w:tcW w:type="dxa" w:w="4360"/>
            <w:vAlign w:val="center"/>
          </w:tcPr>
          <w:p>
            <w:pPr>
              <w:spacing w:after="0" w:line="252" w:lineRule="auto"/>
              <w:jc w:val="left"/>
            </w:pPr>
            <w:r>
              <w:rPr>
                <w:rFonts w:ascii="Arial" w:hAnsi="Arial" w:eastAsia="Microsoft YaHei"/>
                <w:b w:val="0"/>
                <w:i w:val="0"/>
                <w:color w:val="1A1A1A"/>
                <w:sz w:val="17"/>
              </w:rPr>
              <w:t>低温度、结构化输出、确定性工具、版本回归</w:t>
            </w:r>
          </w:p>
        </w:tc>
      </w:tr>
      <w:tr>
        <w:tc>
          <w:tcPr>
            <w:tcW w:type="dxa" w:w="2200"/>
            <w:vAlign w:val="center"/>
          </w:tcPr>
          <w:p>
            <w:pPr>
              <w:spacing w:after="0" w:line="252" w:lineRule="auto"/>
              <w:jc w:val="left"/>
            </w:pPr>
            <w:r>
              <w:rPr>
                <w:rFonts w:ascii="Arial" w:hAnsi="Arial" w:eastAsia="Microsoft YaHei"/>
                <w:b w:val="0"/>
                <w:i w:val="0"/>
                <w:color w:val="1A1A1A"/>
                <w:sz w:val="17"/>
              </w:rPr>
              <w:t>业务口径争议</w:t>
            </w:r>
          </w:p>
        </w:tc>
        <w:tc>
          <w:tcPr>
            <w:tcW w:type="dxa" w:w="2800"/>
            <w:vAlign w:val="center"/>
          </w:tcPr>
          <w:p>
            <w:pPr>
              <w:spacing w:after="0" w:line="252" w:lineRule="auto"/>
              <w:jc w:val="left"/>
            </w:pPr>
            <w:r>
              <w:rPr>
                <w:rFonts w:ascii="Arial" w:hAnsi="Arial" w:eastAsia="Microsoft YaHei"/>
                <w:b w:val="0"/>
                <w:i w:val="0"/>
                <w:color w:val="1A1A1A"/>
                <w:sz w:val="17"/>
              </w:rPr>
              <w:t>结论正确但不被认可</w:t>
            </w:r>
          </w:p>
        </w:tc>
        <w:tc>
          <w:tcPr>
            <w:tcW w:type="dxa" w:w="4360"/>
            <w:vAlign w:val="center"/>
          </w:tcPr>
          <w:p>
            <w:pPr>
              <w:spacing w:after="0" w:line="252" w:lineRule="auto"/>
              <w:jc w:val="left"/>
            </w:pPr>
            <w:r>
              <w:rPr>
                <w:rFonts w:ascii="Arial" w:hAnsi="Arial" w:eastAsia="Microsoft YaHei"/>
                <w:b w:val="0"/>
                <w:i w:val="0"/>
                <w:color w:val="1A1A1A"/>
                <w:sz w:val="17"/>
              </w:rPr>
              <w:t>指标元数据版本化，专家确认口径</w:t>
            </w:r>
          </w:p>
        </w:tc>
      </w:tr>
      <w:tr>
        <w:tc>
          <w:tcPr>
            <w:tcW w:type="dxa" w:w="2200"/>
            <w:vAlign w:val="center"/>
          </w:tcPr>
          <w:p>
            <w:pPr>
              <w:spacing w:after="0" w:line="252" w:lineRule="auto"/>
              <w:jc w:val="left"/>
            </w:pPr>
            <w:r>
              <w:rPr>
                <w:rFonts w:ascii="Arial" w:hAnsi="Arial" w:eastAsia="Microsoft YaHei"/>
                <w:b w:val="0"/>
                <w:i w:val="0"/>
                <w:color w:val="1A1A1A"/>
                <w:sz w:val="17"/>
              </w:rPr>
              <w:t>数据外发风险</w:t>
            </w:r>
          </w:p>
        </w:tc>
        <w:tc>
          <w:tcPr>
            <w:tcW w:type="dxa" w:w="2800"/>
            <w:vAlign w:val="center"/>
          </w:tcPr>
          <w:p>
            <w:pPr>
              <w:spacing w:after="0" w:line="252" w:lineRule="auto"/>
              <w:jc w:val="left"/>
            </w:pPr>
            <w:r>
              <w:rPr>
                <w:rFonts w:ascii="Arial" w:hAnsi="Arial" w:eastAsia="Microsoft YaHei"/>
                <w:b w:val="0"/>
                <w:i w:val="0"/>
                <w:color w:val="1A1A1A"/>
                <w:sz w:val="17"/>
              </w:rPr>
              <w:t>敏感经营信息泄露</w:t>
            </w:r>
          </w:p>
        </w:tc>
        <w:tc>
          <w:tcPr>
            <w:tcW w:type="dxa" w:w="4360"/>
            <w:vAlign w:val="center"/>
          </w:tcPr>
          <w:p>
            <w:pPr>
              <w:spacing w:after="0" w:line="252" w:lineRule="auto"/>
              <w:jc w:val="left"/>
            </w:pPr>
            <w:r>
              <w:rPr>
                <w:rFonts w:ascii="Arial" w:hAnsi="Arial" w:eastAsia="Microsoft YaHei"/>
                <w:b w:val="0"/>
                <w:i w:val="0"/>
                <w:color w:val="1A1A1A"/>
                <w:sz w:val="17"/>
              </w:rPr>
              <w:t>字段白名单、脱敏、服务端密钥、审计</w:t>
            </w:r>
          </w:p>
        </w:tc>
      </w:tr>
      <w:tr>
        <w:tc>
          <w:tcPr>
            <w:tcW w:type="dxa" w:w="2200"/>
            <w:vAlign w:val="center"/>
          </w:tcPr>
          <w:p>
            <w:pPr>
              <w:spacing w:after="0" w:line="252" w:lineRule="auto"/>
              <w:jc w:val="left"/>
            </w:pPr>
            <w:r>
              <w:rPr>
                <w:rFonts w:ascii="Arial" w:hAnsi="Arial" w:eastAsia="Microsoft YaHei"/>
                <w:b w:val="0"/>
                <w:i w:val="0"/>
                <w:color w:val="1A1A1A"/>
                <w:sz w:val="17"/>
              </w:rPr>
              <w:t>智能体过度自主</w:t>
            </w:r>
          </w:p>
        </w:tc>
        <w:tc>
          <w:tcPr>
            <w:tcW w:type="dxa" w:w="2800"/>
            <w:vAlign w:val="center"/>
          </w:tcPr>
          <w:p>
            <w:pPr>
              <w:spacing w:after="0" w:line="252" w:lineRule="auto"/>
              <w:jc w:val="left"/>
            </w:pPr>
            <w:r>
              <w:rPr>
                <w:rFonts w:ascii="Arial" w:hAnsi="Arial" w:eastAsia="Microsoft YaHei"/>
                <w:b w:val="0"/>
                <w:i w:val="0"/>
                <w:color w:val="1A1A1A"/>
                <w:sz w:val="17"/>
              </w:rPr>
              <w:t>未经确认执行动作</w:t>
            </w:r>
          </w:p>
        </w:tc>
        <w:tc>
          <w:tcPr>
            <w:tcW w:type="dxa" w:w="4360"/>
            <w:vAlign w:val="center"/>
          </w:tcPr>
          <w:p>
            <w:pPr>
              <w:spacing w:after="0" w:line="252" w:lineRule="auto"/>
              <w:jc w:val="left"/>
            </w:pPr>
            <w:r>
              <w:rPr>
                <w:rFonts w:ascii="Arial" w:hAnsi="Arial" w:eastAsia="Microsoft YaHei"/>
                <w:b w:val="0"/>
                <w:i w:val="0"/>
                <w:color w:val="1A1A1A"/>
                <w:sz w:val="17"/>
              </w:rPr>
              <w:t>高风险动作强制人工确认</w:t>
            </w:r>
          </w:p>
        </w:tc>
      </w:tr>
      <w:tr>
        <w:tc>
          <w:tcPr>
            <w:tcW w:type="dxa" w:w="2200"/>
            <w:vAlign w:val="center"/>
          </w:tcPr>
          <w:p>
            <w:pPr>
              <w:spacing w:after="0" w:line="252" w:lineRule="auto"/>
              <w:jc w:val="left"/>
            </w:pPr>
            <w:r>
              <w:rPr>
                <w:rFonts w:ascii="Arial" w:hAnsi="Arial" w:eastAsia="Microsoft YaHei"/>
                <w:b w:val="0"/>
                <w:i w:val="0"/>
                <w:color w:val="1A1A1A"/>
                <w:sz w:val="17"/>
              </w:rPr>
              <w:t>评测集过拟合</w:t>
            </w:r>
          </w:p>
        </w:tc>
        <w:tc>
          <w:tcPr>
            <w:tcW w:type="dxa" w:w="2800"/>
            <w:vAlign w:val="center"/>
          </w:tcPr>
          <w:p>
            <w:pPr>
              <w:spacing w:after="0" w:line="252" w:lineRule="auto"/>
              <w:jc w:val="left"/>
            </w:pPr>
            <w:r>
              <w:rPr>
                <w:rFonts w:ascii="Arial" w:hAnsi="Arial" w:eastAsia="Microsoft YaHei"/>
                <w:b w:val="0"/>
                <w:i w:val="0"/>
                <w:color w:val="1A1A1A"/>
                <w:sz w:val="17"/>
              </w:rPr>
              <w:t>测试高分但真实使用差</w:t>
            </w:r>
          </w:p>
        </w:tc>
        <w:tc>
          <w:tcPr>
            <w:tcW w:type="dxa" w:w="4360"/>
            <w:vAlign w:val="center"/>
          </w:tcPr>
          <w:p>
            <w:pPr>
              <w:spacing w:after="0" w:line="252" w:lineRule="auto"/>
              <w:jc w:val="left"/>
            </w:pPr>
            <w:r>
              <w:rPr>
                <w:rFonts w:ascii="Arial" w:hAnsi="Arial" w:eastAsia="Microsoft YaHei"/>
                <w:b w:val="0"/>
                <w:i w:val="0"/>
                <w:color w:val="1A1A1A"/>
                <w:sz w:val="17"/>
              </w:rPr>
              <w:t>保留盲测集并持续吸收真实失败案例</w:t>
            </w:r>
          </w:p>
        </w:tc>
      </w:tr>
      <w:tr>
        <w:tc>
          <w:tcPr>
            <w:tcW w:type="dxa" w:w="2200"/>
            <w:vAlign w:val="center"/>
          </w:tcPr>
          <w:p>
            <w:pPr>
              <w:spacing w:after="0" w:line="252" w:lineRule="auto"/>
              <w:jc w:val="left"/>
            </w:pPr>
            <w:r>
              <w:rPr>
                <w:rFonts w:ascii="Arial" w:hAnsi="Arial" w:eastAsia="Microsoft YaHei"/>
                <w:b w:val="0"/>
                <w:i w:val="0"/>
                <w:color w:val="1A1A1A"/>
                <w:sz w:val="17"/>
              </w:rPr>
              <w:t>成本与延迟</w:t>
            </w:r>
          </w:p>
        </w:tc>
        <w:tc>
          <w:tcPr>
            <w:tcW w:type="dxa" w:w="2800"/>
            <w:vAlign w:val="center"/>
          </w:tcPr>
          <w:p>
            <w:pPr>
              <w:spacing w:after="0" w:line="252" w:lineRule="auto"/>
              <w:jc w:val="left"/>
            </w:pPr>
            <w:r>
              <w:rPr>
                <w:rFonts w:ascii="Arial" w:hAnsi="Arial" w:eastAsia="Microsoft YaHei"/>
                <w:b w:val="0"/>
                <w:i w:val="0"/>
                <w:color w:val="1A1A1A"/>
                <w:sz w:val="17"/>
              </w:rPr>
              <w:t>体验差或调用成本失控</w:t>
            </w:r>
          </w:p>
        </w:tc>
        <w:tc>
          <w:tcPr>
            <w:tcW w:type="dxa" w:w="4360"/>
            <w:vAlign w:val="center"/>
          </w:tcPr>
          <w:p>
            <w:pPr>
              <w:spacing w:after="0" w:line="252" w:lineRule="auto"/>
              <w:jc w:val="left"/>
            </w:pPr>
            <w:r>
              <w:rPr>
                <w:rFonts w:ascii="Arial" w:hAnsi="Arial" w:eastAsia="Microsoft YaHei"/>
                <w:b w:val="0"/>
                <w:i w:val="0"/>
                <w:color w:val="1A1A1A"/>
                <w:sz w:val="17"/>
              </w:rPr>
              <w:t>缓存工具结果、限制步骤数和上下文大小</w:t>
            </w:r>
          </w:p>
        </w:tc>
      </w:tr>
    </w:tbl>
    <w:p>
      <w:pPr>
        <w:spacing w:after="0"/>
      </w:pPr>
    </w:p>
    <w:p>
      <w:pPr>
        <w:pStyle w:val="Heading1"/>
      </w:pPr>
      <w:r>
        <w:t>13. 上线与运营要求</w:t>
      </w:r>
    </w:p>
    <w:p>
      <w:pPr>
        <w:spacing w:after="80"/>
        <w:numPr>
          <w:ilvl w:val="0"/>
          <w:numId w:val="41"/>
        </w:numPr>
      </w:pPr>
      <w:r>
        <w:rPr>
          <w:rFonts w:ascii="Arial" w:hAnsi="Arial" w:eastAsia="Microsoft YaHei"/>
          <w:b w:val="0"/>
          <w:i w:val="0"/>
          <w:color w:val="1A1A1A"/>
          <w:sz w:val="21"/>
        </w:rPr>
        <w:t>先在少量机构和脱敏数据范围内灰度，不直接面向全公司开放。</w:t>
      </w:r>
    </w:p>
    <w:p>
      <w:pPr>
        <w:spacing w:after="80"/>
        <w:numPr>
          <w:ilvl w:val="0"/>
          <w:numId w:val="41"/>
        </w:numPr>
      </w:pPr>
      <w:r>
        <w:rPr>
          <w:rFonts w:ascii="Arial" w:hAnsi="Arial" w:eastAsia="Microsoft YaHei"/>
          <w:b w:val="0"/>
          <w:i w:val="0"/>
          <w:color w:val="1A1A1A"/>
          <w:sz w:val="21"/>
        </w:rPr>
        <w:t>每次发布生成模型、Prompt、Schema、工具和评测集版本号。</w:t>
      </w:r>
    </w:p>
    <w:p>
      <w:pPr>
        <w:spacing w:after="80"/>
        <w:numPr>
          <w:ilvl w:val="0"/>
          <w:numId w:val="41"/>
        </w:numPr>
      </w:pPr>
      <w:r>
        <w:rPr>
          <w:rFonts w:ascii="Arial" w:hAnsi="Arial" w:eastAsia="Microsoft YaHei"/>
          <w:b w:val="0"/>
          <w:i w:val="0"/>
          <w:color w:val="1A1A1A"/>
          <w:sz w:val="21"/>
        </w:rPr>
        <w:t>上线后每日监控失败率、降级率、无依据结论率、Token 成本和平均延迟。</w:t>
      </w:r>
    </w:p>
    <w:p>
      <w:pPr>
        <w:spacing w:after="80"/>
        <w:numPr>
          <w:ilvl w:val="0"/>
          <w:numId w:val="41"/>
        </w:numPr>
      </w:pPr>
      <w:r>
        <w:rPr>
          <w:rFonts w:ascii="Arial" w:hAnsi="Arial" w:eastAsia="Microsoft YaHei"/>
          <w:b w:val="0"/>
          <w:i w:val="0"/>
          <w:color w:val="1A1A1A"/>
          <w:sz w:val="21"/>
        </w:rPr>
        <w:t>每周由产品、业务专家和测试共同复核负反馈案例并决定是否沉淀回归集。</w:t>
      </w:r>
    </w:p>
    <w:p>
      <w:pPr>
        <w:spacing w:after="80"/>
        <w:numPr>
          <w:ilvl w:val="0"/>
          <w:numId w:val="41"/>
        </w:numPr>
      </w:pPr>
      <w:r>
        <w:rPr>
          <w:rFonts w:ascii="Arial" w:hAnsi="Arial" w:eastAsia="Microsoft YaHei"/>
          <w:b w:val="0"/>
          <w:i w:val="0"/>
          <w:color w:val="1A1A1A"/>
          <w:sz w:val="21"/>
        </w:rPr>
        <w:t>发现严重数字错误、越权或数据泄露时，立即关闭 AI 开关并回退到规则诊断。</w:t>
      </w:r>
    </w:p>
    <w:p>
      <w:pPr>
        <w:pStyle w:val="Heading1"/>
      </w:pPr>
      <w:r>
        <w:t>14. 评审决策项</w:t>
      </w:r>
    </w:p>
    <w:tbl>
      <w:tblPr>
        <w:tblStyle w:val="TableGrid"/>
        <w:tblW w:type="dxa" w:w="9360"/>
        <w:jc w:val="left"/>
        <w:tblLayout w:type="fixed"/>
        <w:tblLook w:firstColumn="1" w:firstRow="1" w:lastColumn="0" w:lastRow="0" w:noHBand="0" w:noVBand="1" w:val="04A0"/>
        <w:tblInd w:w="120" w:type="dxa"/>
      </w:tblPr>
      <w:tblGrid>
        <w:gridCol w:w="2100"/>
        <w:gridCol w:w="4700"/>
        <w:gridCol w:w="2560"/>
      </w:tblGrid>
      <w:tr>
        <w:trPr>
          <w:tblHeader w:val="true"/>
        </w:trPr>
        <w:tc>
          <w:tcPr>
            <w:tcW w:type="dxa" w:w="21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决策项</w:t>
            </w:r>
          </w:p>
        </w:tc>
        <w:tc>
          <w:tcPr>
            <w:tcW w:type="dxa" w:w="470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建议方案</w:t>
            </w:r>
          </w:p>
        </w:tc>
        <w:tc>
          <w:tcPr>
            <w:tcW w:type="dxa" w:w="2560"/>
            <w:tcMar>
              <w:top w:w="90" w:type="dxa"/>
              <w:bottom w:w="90" w:type="dxa"/>
              <w:start w:w="120" w:type="dxa"/>
              <w:end w:w="120" w:type="dxa"/>
            </w:tcMar>
            <w:shd w:fill="F2F4F7"/>
            <w:vAlign w:val="center"/>
          </w:tcPr>
          <w:p>
            <w:pPr>
              <w:spacing w:after="0"/>
              <w:jc w:val="center"/>
            </w:pPr>
            <w:r>
              <w:rPr>
                <w:rFonts w:ascii="Arial" w:hAnsi="Arial" w:eastAsia="Microsoft YaHei"/>
                <w:b/>
                <w:i w:val="0"/>
                <w:color w:val="17365D"/>
                <w:sz w:val="18"/>
              </w:rPr>
              <w:t>需确认方</w:t>
            </w:r>
          </w:p>
        </w:tc>
      </w:tr>
      <w:tr>
        <w:tc>
          <w:tcPr>
            <w:tcW w:type="dxa" w:w="2100"/>
            <w:vAlign w:val="center"/>
          </w:tcPr>
          <w:p>
            <w:pPr>
              <w:spacing w:after="0" w:line="252" w:lineRule="auto"/>
              <w:jc w:val="left"/>
            </w:pPr>
            <w:r>
              <w:rPr>
                <w:rFonts w:ascii="Arial" w:hAnsi="Arial" w:eastAsia="Microsoft YaHei"/>
                <w:b w:val="0"/>
                <w:i w:val="0"/>
                <w:color w:val="1A1A1A"/>
                <w:sz w:val="17"/>
              </w:rPr>
              <w:t>试点范围</w:t>
            </w:r>
          </w:p>
        </w:tc>
        <w:tc>
          <w:tcPr>
            <w:tcW w:type="dxa" w:w="4700"/>
            <w:vAlign w:val="center"/>
          </w:tcPr>
          <w:p>
            <w:pPr>
              <w:spacing w:after="0" w:line="252" w:lineRule="auto"/>
              <w:jc w:val="left"/>
            </w:pPr>
            <w:r>
              <w:rPr>
                <w:rFonts w:ascii="Arial" w:hAnsi="Arial" w:eastAsia="Microsoft YaHei"/>
                <w:b w:val="0"/>
                <w:i w:val="0"/>
                <w:color w:val="1A1A1A"/>
                <w:sz w:val="17"/>
              </w:rPr>
              <w:t>2–3 个机构、2–3 个月脱敏数据</w:t>
            </w:r>
          </w:p>
        </w:tc>
        <w:tc>
          <w:tcPr>
            <w:tcW w:type="dxa" w:w="2560"/>
            <w:vAlign w:val="center"/>
          </w:tcPr>
          <w:p>
            <w:pPr>
              <w:spacing w:after="0" w:line="252" w:lineRule="auto"/>
              <w:jc w:val="left"/>
            </w:pPr>
            <w:r>
              <w:rPr>
                <w:rFonts w:ascii="Arial" w:hAnsi="Arial" w:eastAsia="Microsoft YaHei"/>
                <w:b w:val="0"/>
                <w:i w:val="0"/>
                <w:color w:val="1A1A1A"/>
                <w:sz w:val="17"/>
              </w:rPr>
              <w:t>业务负责人</w:t>
            </w:r>
          </w:p>
        </w:tc>
      </w:tr>
      <w:tr>
        <w:tc>
          <w:tcPr>
            <w:tcW w:type="dxa" w:w="2100"/>
            <w:vAlign w:val="center"/>
          </w:tcPr>
          <w:p>
            <w:pPr>
              <w:spacing w:after="0" w:line="252" w:lineRule="auto"/>
              <w:jc w:val="left"/>
            </w:pPr>
            <w:r>
              <w:rPr>
                <w:rFonts w:ascii="Arial" w:hAnsi="Arial" w:eastAsia="Microsoft YaHei"/>
                <w:b w:val="0"/>
                <w:i w:val="0"/>
                <w:color w:val="1A1A1A"/>
                <w:sz w:val="17"/>
              </w:rPr>
              <w:t>模型部署</w:t>
            </w:r>
          </w:p>
        </w:tc>
        <w:tc>
          <w:tcPr>
            <w:tcW w:type="dxa" w:w="4700"/>
            <w:vAlign w:val="center"/>
          </w:tcPr>
          <w:p>
            <w:pPr>
              <w:spacing w:after="0" w:line="252" w:lineRule="auto"/>
              <w:jc w:val="left"/>
            </w:pPr>
            <w:r>
              <w:rPr>
                <w:rFonts w:ascii="Arial" w:hAnsi="Arial" w:eastAsia="Microsoft YaHei"/>
                <w:b w:val="0"/>
                <w:i w:val="0"/>
                <w:color w:val="1A1A1A"/>
                <w:sz w:val="17"/>
              </w:rPr>
              <w:t>先使用现有服务，保留可替换模型适配层</w:t>
            </w:r>
          </w:p>
        </w:tc>
        <w:tc>
          <w:tcPr>
            <w:tcW w:type="dxa" w:w="2560"/>
            <w:vAlign w:val="center"/>
          </w:tcPr>
          <w:p>
            <w:pPr>
              <w:spacing w:after="0" w:line="252" w:lineRule="auto"/>
              <w:jc w:val="left"/>
            </w:pPr>
            <w:r>
              <w:rPr>
                <w:rFonts w:ascii="Arial" w:hAnsi="Arial" w:eastAsia="Microsoft YaHei"/>
                <w:b w:val="0"/>
                <w:i w:val="0"/>
                <w:color w:val="1A1A1A"/>
                <w:sz w:val="17"/>
              </w:rPr>
              <w:t>技术负责人</w:t>
            </w:r>
          </w:p>
        </w:tc>
      </w:tr>
      <w:tr>
        <w:tc>
          <w:tcPr>
            <w:tcW w:type="dxa" w:w="2100"/>
            <w:vAlign w:val="center"/>
          </w:tcPr>
          <w:p>
            <w:pPr>
              <w:spacing w:after="0" w:line="252" w:lineRule="auto"/>
              <w:jc w:val="left"/>
            </w:pPr>
            <w:r>
              <w:rPr>
                <w:rFonts w:ascii="Arial" w:hAnsi="Arial" w:eastAsia="Microsoft YaHei"/>
                <w:b w:val="0"/>
                <w:i w:val="0"/>
                <w:color w:val="1A1A1A"/>
                <w:sz w:val="17"/>
              </w:rPr>
              <w:t>身份网关</w:t>
            </w:r>
          </w:p>
        </w:tc>
        <w:tc>
          <w:tcPr>
            <w:tcW w:type="dxa" w:w="4700"/>
            <w:vAlign w:val="center"/>
          </w:tcPr>
          <w:p>
            <w:pPr>
              <w:spacing w:after="0" w:line="252" w:lineRule="auto"/>
              <w:jc w:val="left"/>
            </w:pPr>
            <w:r>
              <w:rPr>
                <w:rFonts w:ascii="Arial" w:hAnsi="Arial" w:eastAsia="Microsoft YaHei"/>
                <w:b w:val="0"/>
                <w:i w:val="0"/>
                <w:color w:val="1A1A1A"/>
                <w:sz w:val="17"/>
              </w:rPr>
              <w:t>生产环境必须经过可信内部网关</w:t>
            </w:r>
          </w:p>
        </w:tc>
        <w:tc>
          <w:tcPr>
            <w:tcW w:type="dxa" w:w="2560"/>
            <w:vAlign w:val="center"/>
          </w:tcPr>
          <w:p>
            <w:pPr>
              <w:spacing w:after="0" w:line="252" w:lineRule="auto"/>
              <w:jc w:val="left"/>
            </w:pPr>
            <w:r>
              <w:rPr>
                <w:rFonts w:ascii="Arial" w:hAnsi="Arial" w:eastAsia="Microsoft YaHei"/>
                <w:b w:val="0"/>
                <w:i w:val="0"/>
                <w:color w:val="1A1A1A"/>
                <w:sz w:val="17"/>
              </w:rPr>
              <w:t>安全/基础设施</w:t>
            </w:r>
          </w:p>
        </w:tc>
      </w:tr>
      <w:tr>
        <w:tc>
          <w:tcPr>
            <w:tcW w:type="dxa" w:w="2100"/>
            <w:vAlign w:val="center"/>
          </w:tcPr>
          <w:p>
            <w:pPr>
              <w:spacing w:after="0" w:line="252" w:lineRule="auto"/>
              <w:jc w:val="left"/>
            </w:pPr>
            <w:r>
              <w:rPr>
                <w:rFonts w:ascii="Arial" w:hAnsi="Arial" w:eastAsia="Microsoft YaHei"/>
                <w:b w:val="0"/>
                <w:i w:val="0"/>
                <w:color w:val="1A1A1A"/>
                <w:sz w:val="17"/>
              </w:rPr>
              <w:t>人工确认点</w:t>
            </w:r>
          </w:p>
        </w:tc>
        <w:tc>
          <w:tcPr>
            <w:tcW w:type="dxa" w:w="4700"/>
            <w:vAlign w:val="center"/>
          </w:tcPr>
          <w:p>
            <w:pPr>
              <w:spacing w:after="0" w:line="252" w:lineRule="auto"/>
              <w:jc w:val="left"/>
            </w:pPr>
            <w:r>
              <w:rPr>
                <w:rFonts w:ascii="Arial" w:hAnsi="Arial" w:eastAsia="Microsoft YaHei"/>
                <w:b w:val="0"/>
                <w:i w:val="0"/>
                <w:color w:val="1A1A1A"/>
                <w:sz w:val="17"/>
              </w:rPr>
              <w:t>任务创建、正式结论发布、任务关闭</w:t>
            </w:r>
          </w:p>
        </w:tc>
        <w:tc>
          <w:tcPr>
            <w:tcW w:type="dxa" w:w="2560"/>
            <w:vAlign w:val="center"/>
          </w:tcPr>
          <w:p>
            <w:pPr>
              <w:spacing w:after="0" w:line="252" w:lineRule="auto"/>
              <w:jc w:val="left"/>
            </w:pPr>
            <w:r>
              <w:rPr>
                <w:rFonts w:ascii="Arial" w:hAnsi="Arial" w:eastAsia="Microsoft YaHei"/>
                <w:b w:val="0"/>
                <w:i w:val="0"/>
                <w:color w:val="1A1A1A"/>
                <w:sz w:val="17"/>
              </w:rPr>
              <w:t>产品/业务</w:t>
            </w:r>
          </w:p>
        </w:tc>
      </w:tr>
      <w:tr>
        <w:tc>
          <w:tcPr>
            <w:tcW w:type="dxa" w:w="2100"/>
            <w:vAlign w:val="center"/>
          </w:tcPr>
          <w:p>
            <w:pPr>
              <w:spacing w:after="0" w:line="252" w:lineRule="auto"/>
              <w:jc w:val="left"/>
            </w:pPr>
            <w:r>
              <w:rPr>
                <w:rFonts w:ascii="Arial" w:hAnsi="Arial" w:eastAsia="Microsoft YaHei"/>
                <w:b w:val="0"/>
                <w:i w:val="0"/>
                <w:color w:val="1A1A1A"/>
                <w:sz w:val="17"/>
              </w:rPr>
              <w:t>发布门槛</w:t>
            </w:r>
          </w:p>
        </w:tc>
        <w:tc>
          <w:tcPr>
            <w:tcW w:type="dxa" w:w="4700"/>
            <w:vAlign w:val="center"/>
          </w:tcPr>
          <w:p>
            <w:pPr>
              <w:spacing w:after="0" w:line="252" w:lineRule="auto"/>
              <w:jc w:val="left"/>
            </w:pPr>
            <w:r>
              <w:rPr>
                <w:rFonts w:ascii="Arial" w:hAnsi="Arial" w:eastAsia="Microsoft YaHei"/>
                <w:b w:val="0"/>
                <w:i w:val="0"/>
                <w:color w:val="1A1A1A"/>
                <w:sz w:val="17"/>
              </w:rPr>
              <w:t>采用本文数字、证据和严重错误指标</w:t>
            </w:r>
          </w:p>
        </w:tc>
        <w:tc>
          <w:tcPr>
            <w:tcW w:type="dxa" w:w="2560"/>
            <w:vAlign w:val="center"/>
          </w:tcPr>
          <w:p>
            <w:pPr>
              <w:spacing w:after="0" w:line="252" w:lineRule="auto"/>
              <w:jc w:val="left"/>
            </w:pPr>
            <w:r>
              <w:rPr>
                <w:rFonts w:ascii="Arial" w:hAnsi="Arial" w:eastAsia="Microsoft YaHei"/>
                <w:b w:val="0"/>
                <w:i w:val="0"/>
                <w:color w:val="1A1A1A"/>
                <w:sz w:val="17"/>
              </w:rPr>
              <w:t>产品/测试/业务</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90" w:type="dxa"/>
              <w:bottom w:w="90" w:type="dxa"/>
              <w:start w:w="120" w:type="dxa"/>
              <w:end w:w="120" w:type="dxa"/>
            </w:tcMar>
            <w:shd w:fill="E8F5EE"/>
          </w:tcPr>
          <w:p>
            <w:pPr>
              <w:spacing w:after="0"/>
            </w:pPr>
            <w:r>
              <w:rPr>
                <w:rFonts w:ascii="Arial" w:hAnsi="Arial" w:eastAsia="Microsoft YaHei"/>
                <w:b/>
                <w:i w:val="0"/>
                <w:color w:val="176B43"/>
                <w:sz w:val="21"/>
              </w:rPr>
              <w:t xml:space="preserve">建议立即启动 </w:t>
            </w:r>
            <w:r>
              <w:rPr>
                <w:rFonts w:ascii="Arial" w:hAnsi="Arial" w:eastAsia="Microsoft YaHei"/>
                <w:b w:val="0"/>
                <w:i w:val="0"/>
                <w:color w:val="176B43"/>
                <w:sz w:val="21"/>
              </w:rPr>
              <w:t>首先冻结评测基线，并在第一周完成真实评测门禁、追问统一校验和机构级数据隔离设计。只有 P0 可靠性与安全问题关闭后，才进入智能体计划器和工具编排开发。</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b w:val="0"/>
        <w:i w:val="0"/>
        <w:color w:val="667085"/>
        <w:sz w:val="17"/>
      </w:rPr>
      <w:t xml:space="preserve">PRD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1" w:color="D9E2F3"/>
      </w:pBdr>
    </w:pPr>
    <w:r>
      <w:rPr>
        <w:rFonts w:ascii="Arial" w:hAnsi="Arial" w:eastAsia="Microsoft YaHei"/>
        <w:b/>
        <w:i w:val="0"/>
        <w:color w:val="667085"/>
        <w:sz w:val="17"/>
      </w:rPr>
      <w:t>产品需求文档  |  智能经营智能体下一阶段建设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lvl w:ilvl="0">
      <w:start w:val="1"/>
      <w:numFmt w:val="bullet"/>
      <w:lvlText w:val="•"/>
      <w:pPr>
        <w:tabs>
          <w:tab w:val="num" w:pos="720"/>
        </w:tabs>
        <w:ind w:left="720" w:hanging="360"/>
      </w:pPr>
    </w:lvl>
  </w:abstractNum>
  <w:num w:numId="41">
    <w:abstractNumId w:val="41"/>
  </w:num>
  <w:abstractNum w:abstractNumId="42">
    <w:lvl w:ilvl="0">
      <w:start w:val="1"/>
      <w:numFmt w:val="decimal"/>
      <w:lvlText w:val="%1."/>
      <w:pPr>
        <w:tabs>
          <w:tab w:val="num" w:pos="720"/>
        </w:tabs>
        <w:ind w:left="720" w:hanging="360"/>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Microsoft YaHe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智能经营智能体下一阶段建设 PRD</dc:title>
  <dc:subject>可靠经营智能体建设需求与实施计划</dc:subject>
  <dc:creator>项目组</dc:creator>
  <cp:keywords>经营智能体, AI评测, 工具调用, 整改闭环, PRD</cp:keywords>
  <dc:description>generated by python-docx</dc:description>
  <cp:lastModifiedBy/>
  <cp:revision>1</cp:revision>
  <dcterms:created xsi:type="dcterms:W3CDTF">2013-12-23T23:15:00Z</dcterms:created>
  <dcterms:modified xsi:type="dcterms:W3CDTF">2013-12-23T23:15:00Z</dcterms:modified>
  <cp:category/>
</cp:coreProperties>
</file>