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</w:pPr>
      <w:r>
        <w:rPr>
          <w:rFonts w:ascii="Arial" w:hAnsi="Arial" w:eastAsia="Microsoft YaHei"/>
          <w:b/>
          <w:i w:val="0"/>
          <w:color w:val="2E74B5"/>
          <w:sz w:val="24"/>
        </w:rPr>
        <w:t>产品需求文档（PRD）</w:t>
      </w:r>
    </w:p>
    <w:p>
      <w:pPr>
        <w:spacing w:after="160"/>
      </w:pPr>
      <w:r>
        <w:rPr>
          <w:rFonts w:ascii="Arial" w:hAnsi="Arial" w:eastAsia="Microsoft YaHei"/>
          <w:b/>
          <w:i w:val="0"/>
          <w:color w:val="17365D"/>
          <w:sz w:val="52"/>
        </w:rPr>
        <w:t>智能经营诊断与整改闭环</w:t>
      </w:r>
    </w:p>
    <w:p>
      <w:pPr>
        <w:spacing w:after="440"/>
      </w:pPr>
      <w:r>
        <w:rPr>
          <w:rFonts w:ascii="Arial" w:hAnsi="Arial" w:eastAsia="Microsoft YaHei"/>
          <w:b w:val="0"/>
          <w:i w:val="0"/>
          <w:color w:val="667085"/>
          <w:sz w:val="28"/>
        </w:rPr>
        <w:t>分公司经营与效能数据看板 AI 能力升级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文档版本：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V1.0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文档状态：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产品评审稿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适用项目：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分公司经营与效能数据看板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建设方向：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规则诊断 → AI解释 → 用户追问 → 整改跟踪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编制日期：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2026年6月18日</w:t>
      </w:r>
    </w:p>
    <w:p>
      <w:pPr>
        <w:spacing w:before="40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产品定位 </w:t>
            </w:r>
            <w:r>
              <w:rPr>
                <w:rFonts w:ascii="Arial" w:hAnsi="Arial" w:eastAsia="Microsoft YaHei"/>
                <w:b w:val="0"/>
                <w:i w:val="0"/>
                <w:color w:val="17365D"/>
                <w:sz w:val="22"/>
              </w:rPr>
              <w:t>本产品不是通用聊天机器人，而是基于公司经营数据、预警规则和财险经营知识的智能经营分析助手。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1800"/>
        <w:gridCol w:w="45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版本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日期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状态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V1.0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2026-06-18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产品评审稿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形成智能经营诊断与整改闭环一期至三期需求方案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1. 项目背景与问题定义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2. 产品目标与成功指标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3. 产品原则与目标状态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4. 用户角色与使用场景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5. 产品范围与版本规划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6. 总体业务流程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7. 信息架构与页面设计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8. 功能需求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9. 数据需求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10. AI输出规范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11. 权限、安全与审计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12. 异常处理与降级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13. 非功能需求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14. 验收标准与测试场景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15. 排期、依赖与风险</w:t>
      </w:r>
    </w:p>
    <w:p>
      <w:r>
        <w:br w:type="page"/>
      </w:r>
    </w:p>
    <w:p>
      <w:pPr>
        <w:pStyle w:val="Heading1"/>
      </w:pPr>
      <w:r>
        <w:t>1. 项目背景与问题定义</w:t>
      </w:r>
    </w:p>
    <w:p>
      <w:pPr>
        <w:pStyle w:val="Heading2"/>
      </w:pPr>
      <w:r>
        <w:t>1.1 项目现状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现有系统已具备经营数据导入、指标计算、机构排名、横向对比、预警规则、风险评分、经营模式识别和自动报告等能力，覆盖保费、利润、综合成本率、赔付率、费用率及人力效能等核心经营指标。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当前“AI预警解读”页面的主体分析由本地规则引擎生成，具有确定性和可解释性；项目同时保留大模型流式接口，但尚未在正式前端形成用户可见的调用闭环。</w:t>
      </w:r>
    </w:p>
    <w:p>
      <w:pPr>
        <w:pStyle w:val="Heading2"/>
      </w:pPr>
      <w:r>
        <w:t>1.2 核心问题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用户只能阅读固定诊断报告，无法围绕某个结论继续追问或调整分析角度。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报告中的“可能原因”容易被用户理解为已经确认的经营根因。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AI建议不能转化为责任明确、期限明确、目标明确的整改任务。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缺少分险种、分渠道、大额赔案、费用科目等驱动数据，归因深度有限。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缺少证据引用、用户反馈、模型评测、调用审计及权限控制机制。</w:t>
      </w:r>
    </w:p>
    <w:p>
      <w:pPr>
        <w:pStyle w:val="Heading2"/>
      </w:pPr>
      <w:r>
        <w:t>1.3 产品机会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核心机会 </w:t>
            </w:r>
            <w:r>
              <w:rPr>
                <w:rFonts w:ascii="Arial" w:hAnsi="Arial" w:eastAsia="Microsoft YaHei"/>
                <w:b w:val="0"/>
                <w:i w:val="0"/>
                <w:color w:val="17365D"/>
                <w:sz w:val="22"/>
              </w:rPr>
              <w:t>保留规则引擎作为可信事实底座，让大模型负责解释、追问和表达，再通过整改任务把分析结果转化为经营改善动作。</w:t>
            </w:r>
          </w:p>
        </w:tc>
      </w:tr>
    </w:tbl>
    <w:p>
      <w:pPr>
        <w:spacing w:after="20"/>
      </w:pPr>
    </w:p>
    <w:p>
      <w:pPr>
        <w:pStyle w:val="Heading1"/>
      </w:pPr>
      <w:r>
        <w:t>2. 产品目标与成功指标</w:t>
      </w:r>
    </w:p>
    <w:p>
      <w:pPr>
        <w:pStyle w:val="Heading2"/>
      </w:pPr>
      <w:r>
        <w:t>2.1 总体目标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自动发现经营异常，并准确说明异常发生在哪个机构、周期和指标。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在不编造数字的前提下解释异常可能意味着什么。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引导用户核查潜在原因，明确当前数据能够证明和不能证明的内容。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形成可执行的经营改善建议，并支持人工确认后转为整改任务。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跟踪整改进度，在后续数据周期自动复盘改善效果。</w:t>
      </w:r>
    </w:p>
    <w:p>
      <w:pPr>
        <w:pStyle w:val="Heading2"/>
      </w:pPr>
      <w:r>
        <w:t>2.2 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440"/>
        <w:gridCol w:w="504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指标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一期目标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测量口径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AI数字引用准确率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≥99%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AI回答引用的数值与系统计算结果一致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无依据结论率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≤2%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抽检中缺少数据或规则依据的结论占比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AI报告打开率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≥60%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打开AI深度解读的报告数/可解读报告数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报告追问使用率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≥30%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发生至少一次追问的AI报告占比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建议采纳或转任务率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≥20%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被采纳或转为整改任务的建议占比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用户满意率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≥80%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用户标记“有帮助”的回答占比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AI首字响应时间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≤5秒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从提交到前端收到首段流式内容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基础报告可用率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100%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模型不可用时规则报告仍可访问</w:t>
            </w:r>
          </w:p>
        </w:tc>
      </w:tr>
    </w:tbl>
    <w:p>
      <w:pPr>
        <w:spacing w:after="20"/>
      </w:pPr>
    </w:p>
    <w:p>
      <w:pPr>
        <w:pStyle w:val="Heading1"/>
      </w:pPr>
      <w:r>
        <w:t>3. 产品原则与目标状态</w:t>
      </w:r>
    </w:p>
    <w:p>
      <w:pPr>
        <w:pStyle w:val="Heading2"/>
      </w:pPr>
      <w:r>
        <w:t>3.1 三层能力架构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能力层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主要职责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约束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事实计算层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指标计算、同比环比、排名、阈值和风险评分</w:t>
            </w:r>
          </w:p>
        </w:tc>
        <w:tc>
          <w:tcPr>
            <w:tcW w:type="dxa" w:w="36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关键数字不得由大模型自行计算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诊断推理层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组织事实、异常、推断、待核查项和建议</w:t>
            </w:r>
          </w:p>
        </w:tc>
        <w:tc>
          <w:tcPr>
            <w:tcW w:type="dxa" w:w="36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明确区分事实、规则判断和假设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交互生成层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自然语言解读、追问、摘要改写和任务草稿</w:t>
            </w:r>
          </w:p>
        </w:tc>
        <w:tc>
          <w:tcPr>
            <w:tcW w:type="dxa" w:w="36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不得越权修改数据、规则或任务状态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核心原则 </w:t>
            </w:r>
            <w:r>
              <w:rPr>
                <w:rFonts w:ascii="Arial" w:hAnsi="Arial" w:eastAsia="Microsoft YaHei"/>
                <w:b w:val="0"/>
                <w:i w:val="0"/>
                <w:color w:val="17365D"/>
                <w:sz w:val="22"/>
              </w:rPr>
              <w:t>规则决定“发生了什么”，模型解释“可能意味着什么”，业务人员确认“接下来做什么”。</w:t>
            </w:r>
          </w:p>
        </w:tc>
      </w:tr>
    </w:tbl>
    <w:p>
      <w:pPr>
        <w:spacing w:after="20"/>
      </w:pPr>
    </w:p>
    <w:p>
      <w:pPr>
        <w:pStyle w:val="Heading2"/>
      </w:pPr>
      <w:r>
        <w:t>3.2 可信分析标签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标签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定义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示例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已确认事实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由当前数据直接计算或读取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综合成本率159.3%，高于整体59.4个百分点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规则判断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根据已配置阈值或评分规则得出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触发高风险预警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分析推断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结合经营逻辑形成的可能解释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风险可能主要来自赔付端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待核查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现有数据不足，需要补充明细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核查大额赔案和分险种赔付率</w:t>
            </w:r>
          </w:p>
        </w:tc>
      </w:tr>
    </w:tbl>
    <w:p>
      <w:pPr>
        <w:spacing w:after="20"/>
      </w:pPr>
    </w:p>
    <w:p>
      <w:pPr>
        <w:pStyle w:val="Heading1"/>
      </w:pPr>
      <w:r>
        <w:t>4. 用户角色与使用场景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3840"/>
        <w:gridCol w:w="3600"/>
      </w:tblGrid>
      <w:tr>
        <w:trPr>
          <w:tblHeader w:val="true"/>
        </w:trPr>
        <w:tc>
          <w:tcPr>
            <w:tcW w:type="dxa" w:w="19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角色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关注重点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核心操作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总公司管理层</w:t>
            </w:r>
          </w:p>
        </w:tc>
        <w:tc>
          <w:tcPr>
            <w:tcW w:type="dxa" w:w="38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全国风险、高风险机构、重大异常、整改进展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查看总览、跨机构比较、下发整改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总公司职能部门</w:t>
            </w:r>
          </w:p>
        </w:tc>
        <w:tc>
          <w:tcPr>
            <w:tcW w:type="dxa" w:w="38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业务、精算、理赔、财务、人力等专业问题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专业核查、补充原因、处理任务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责任区负责人</w:t>
            </w:r>
          </w:p>
        </w:tc>
        <w:tc>
          <w:tcPr>
            <w:tcW w:type="dxa" w:w="38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责任区机构差距、风险机构、改善进度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区域比较、追问、创建任务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分公司管理层</w:t>
            </w:r>
          </w:p>
        </w:tc>
        <w:tc>
          <w:tcPr>
            <w:tcW w:type="dxa" w:w="38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本机构风险、短板、核查事项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查看解读、反馈、处理整改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系统管理员</w:t>
            </w:r>
          </w:p>
        </w:tc>
        <w:tc>
          <w:tcPr>
            <w:tcW w:type="dxa" w:w="38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规则、模型、权限和审计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配置、监控、审计和问题处理</w:t>
            </w:r>
          </w:p>
        </w:tc>
      </w:tr>
    </w:tbl>
    <w:p>
      <w:pPr>
        <w:spacing w:after="20"/>
      </w:pPr>
    </w:p>
    <w:p>
      <w:pPr>
        <w:pStyle w:val="Heading2"/>
      </w:pPr>
      <w:r>
        <w:t>4.1 典型用户故事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作为总公司管理者，我希望快速知道本月哪些分公司风险最高，以及风险主要集中在哪些经营环节。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作为责任区负责人，我希望追问某分公司为何被判定为高风险，并查看每项结论的数据依据。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作为分公司负责人，我希望把系统建议转成整改任务，并明确责任部门、期限和目标。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作为职能部门人员，我希望看到待核查的数据清单，从而判断问题来自赔付、费用、渠道还是人员结构。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作为管理员，我希望追溯每次AI调用所使用的数据、模型和提示词版本。</w:t>
      </w:r>
    </w:p>
    <w:p>
      <w:pPr>
        <w:pStyle w:val="Heading1"/>
      </w:pPr>
      <w:r>
        <w:t>5. 产品范围与版本规划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40"/>
        <w:gridCol w:w="49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阶段</w:t>
            </w:r>
          </w:p>
        </w:tc>
        <w:tc>
          <w:tcPr>
            <w:tcW w:type="dxa" w:w="26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产品目标</w:t>
            </w:r>
          </w:p>
        </w:tc>
        <w:tc>
          <w:tcPr>
            <w:tcW w:type="dxa" w:w="49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主要范围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P0 可信AI解读</w:t>
            </w:r>
          </w:p>
        </w:tc>
        <w:tc>
          <w:tcPr>
            <w:tcW w:type="dxa" w:w="26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完成AI可用闭环</w:t>
            </w:r>
          </w:p>
        </w:tc>
        <w:tc>
          <w:tcPr>
            <w:tcW w:type="dxa" w:w="4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规则报告、AI深度解读、追问、证据、反馈、降级、日志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P1 深度经营分析</w:t>
            </w:r>
          </w:p>
        </w:tc>
        <w:tc>
          <w:tcPr>
            <w:tcW w:type="dxa" w:w="26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提升归因深度</w:t>
            </w:r>
          </w:p>
        </w:tc>
        <w:tc>
          <w:tcPr>
            <w:tcW w:type="dxa" w:w="4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分险种/渠道/大案/费用下钻、多机构比较、多月趋势、会议摘要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P2 整改闭环</w:t>
            </w:r>
          </w:p>
        </w:tc>
        <w:tc>
          <w:tcPr>
            <w:tcW w:type="dxa" w:w="26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推动经营改善</w:t>
            </w:r>
          </w:p>
        </w:tc>
        <w:tc>
          <w:tcPr>
            <w:tcW w:type="dxa" w:w="49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建议转任务、责任与期限、进度提醒、指标复盘、效果评价</w:t>
            </w:r>
          </w:p>
        </w:tc>
      </w:tr>
    </w:tbl>
    <w:p>
      <w:pPr>
        <w:spacing w:after="20"/>
      </w:pPr>
    </w:p>
    <w:p>
      <w:pPr>
        <w:pStyle w:val="Heading2"/>
      </w:pPr>
      <w:r>
        <w:t>5.1 暂不纳入范围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AI自动修改经营数据或指标口径。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AI自动启停或调整预警规则。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AI未经用户确认直接创建或下发整改任务。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AI替代核保、理赔、财务或人力审批。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在缺少明细数据时输出确定性经营归因。</w:t>
      </w:r>
    </w:p>
    <w:p>
      <w:pPr>
        <w:pStyle w:val="Heading1"/>
      </w:pPr>
      <w:r>
        <w:t>6. 总体业务流程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经营数据导入并完成数据质量校验。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系统计算指标、排名、同比环比和机构对标结果。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预警规则识别异常并生成基础诊断报告。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用户按需生成AI深度解读，AI返回结构化分析。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用户围绕当前报告继续追问并查看数据证据。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用户确认建议后生成整改任务草稿。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任务经人工确认后进入执行和跟踪。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进入下一数据周期后，系统自动生成整改复盘。</w:t>
      </w:r>
    </w:p>
    <w:p>
      <w:pPr>
        <w:pStyle w:val="Heading1"/>
      </w:pPr>
      <w:r>
        <w:t>7. 信息架构与页面设计</w:t>
      </w:r>
    </w:p>
    <w:p>
      <w:pPr>
        <w:pStyle w:val="Heading2"/>
      </w:pPr>
      <w:r>
        <w:t>7.1 导航调整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原“AI预警解读（测试）”调整为“智能经营诊断”。</w:t>
      </w:r>
    </w:p>
    <w:p>
      <w:pPr>
        <w:pStyle w:val="Heading2"/>
      </w:pPr>
      <w:r>
        <w:t>7.2 页面结构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全国风险总览：展示高风险、中风险、涉及机构和告警总数。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高风险机构列表：支持按责任区、风险等级、指标类型筛选。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基础诊断报告：展示规则生成的确定性分析。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AI深度解读：按需生成，展示事实、推断、待核查和建议。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交互追问区：提供预置问题和自由提问。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数据证据区：展示指标、周期、对标值和触发规则。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整改任务区：展示任务状态、责任人、期限和复盘结果。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历史记录：查看历史诊断、追问、反馈和整改结果。</w:t>
      </w:r>
    </w:p>
    <w:p>
      <w:pPr>
        <w:pStyle w:val="Heading2"/>
      </w:pPr>
      <w:r>
        <w:t>7.3 页面状态信息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页面顶部固定展示报告周期、数据更新时间、分析范围、规则报告状态、AI服务状态以及“仅供管理参考”的风险提示。</w:t>
      </w:r>
    </w:p>
    <w:p>
      <w:pPr>
        <w:pStyle w:val="Heading1"/>
      </w:pPr>
      <w:r>
        <w:t>8. 功能需求</w:t>
      </w:r>
    </w:p>
    <w:p>
      <w:pPr>
        <w:pStyle w:val="Heading2"/>
      </w:pPr>
      <w:r>
        <w:t>8.1 FR-01 基础诊断报告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系统继续通过规则引擎生成确定性报告，作为AI分析的事实底座和服务降级方案。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展示风险等级、触发预警、核心指标、机构排名及对标差异。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在存在有效比较期时展示同比或环比。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展示经营模式识别、可能原因、待核查数据和管理建议。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每条结论标记为已确认事实、规则判断、分析推断或待核查。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相同数据和规则必须生成相同报告。</w:t>
      </w:r>
    </w:p>
    <w:p>
      <w:pPr>
        <w:pStyle w:val="Heading2"/>
      </w:pPr>
      <w:r>
        <w:t>8.2 FR-02 AI深度解读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每份机构报告提供“生成AI深度解读”入口。系统将结构化事实、规则诊断和比较数据传给模型。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输出模块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内容要求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一句话结论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概括当前机构最值得关注的经营问题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关键经营事实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只引用系统提供的数字，并关联证据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主要风险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说明异常指标及其业务含义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潜在驱动因素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以可能性表述，不得冒充已确认原因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待核查数据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明确下一步需要哪些明细或业务事实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管理建议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按短期、中期或长期组织，可执行、可跟踪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数据局限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说明比较期、粒度或数据完整性限制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2"/>
              </w:rPr>
              <w:t xml:space="preserve">示例 </w:t>
            </w:r>
            <w:r>
              <w:rPr>
                <w:rFonts w:ascii="Arial" w:hAnsi="Arial" w:eastAsia="Microsoft YaHei"/>
                <w:b w:val="0"/>
                <w:i w:val="0"/>
                <w:color w:val="17365D"/>
                <w:sz w:val="22"/>
              </w:rPr>
              <w:t>已确认事实：天津分公司综合成本率159.3%，高于分公司整体59.4个百分点。分析推断：当前偏差主要集中在赔付端，但现有数据无法判断是大额赔案还是业务结构变化导致。建议核查：近3个月大额赔案、分险种赔付率及准备金调整情况。</w:t>
            </w:r>
          </w:p>
        </w:tc>
      </w:tr>
    </w:tbl>
    <w:p>
      <w:pPr>
        <w:spacing w:after="20"/>
      </w:pPr>
    </w:p>
    <w:p>
      <w:pPr>
        <w:pStyle w:val="Heading2"/>
      </w:pPr>
      <w:r>
        <w:t>8.3 FR-03 AI交互追问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用户可以基于当前机构、当前周期和当前报告继续提问。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为什么该分公司被判定为高风险？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哪项指标对综合成本率影响最大？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与分公司整体相比，主要差距在哪里？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管理层本周应优先核查什么？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请生成经营分析会一页摘要。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请将建议整理为整改清单。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会话上下文必须包含当前机构、月份、指标数据、比较数据、预警结果和本轮会话历史；切换机构后必须清空或隔离上下文。</w:t>
      </w:r>
    </w:p>
    <w:p>
      <w:pPr>
        <w:pStyle w:val="Heading2"/>
      </w:pPr>
      <w:r>
        <w:t>8.4 FR-04 数据证据引用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AI核心结论旁提供“查看依据”，展示指标名称、当前值、对标值、差异值、数据周期、数据来源和使用的预警规则。</w:t>
      </w:r>
    </w:p>
    <w:p>
      <w:pPr>
        <w:pStyle w:val="Heading2"/>
      </w:pPr>
      <w:r>
        <w:t>8.5 FR-05 多机构比较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用户可选择2至5家分公司进行比较。AI应回答风险差异、共性问题、标杆机构和差异化改善方向。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对于保费、利润等规模型绝对指标，不得脱离机构规模直接判断经营优劣，应同时结合达成率、成本率和业务结构解释。</w:t>
      </w:r>
    </w:p>
    <w:p>
      <w:pPr>
        <w:pStyle w:val="Heading2"/>
      </w:pPr>
      <w:r>
        <w:t>8.6 FR-06 趋势分析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至少存在连续3个月有效数据时，系统方可判断持续改善、持续恶化、高位波动、低位波动或单月异常。数据不足时应明确标记。</w:t>
      </w:r>
    </w:p>
    <w:p>
      <w:pPr>
        <w:pStyle w:val="Heading2"/>
      </w:pPr>
      <w:r>
        <w:t>8.7 FR-07 整改任务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用户可将AI建议转为整改任务草稿。AI只能生成草稿，必须由用户确认后创建。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字段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来源/要求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任务标题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必填，可由AI生成后编辑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来源机构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系统自动带入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来源报告周期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系统自动带入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风险指标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系统自动带入，可多选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问题描述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AI建议草稿，用户可编辑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整改措施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必填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责任部门/责任人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必填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完成期限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必填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当前值/目标值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当前值自动带入，目标值可配置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状态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待确认、进行中、已完成、已关闭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复盘结果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任务完成或进入下一周期后填写</w:t>
            </w:r>
          </w:p>
        </w:tc>
      </w:tr>
    </w:tbl>
    <w:p>
      <w:pPr>
        <w:spacing w:after="20"/>
      </w:pPr>
    </w:p>
    <w:p>
      <w:pPr>
        <w:pStyle w:val="Heading2"/>
      </w:pPr>
      <w:r>
        <w:t>8.8 FR-08 整改复盘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进入下一数据周期后，系统比较整改前后指标，输出明显改善、小幅改善、无明显变化、继续恶化或数据不足。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展示整改前后数值和变化幅度。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展示与全国、责任区或同类机构对标变化。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判断是否达到用户设定的目标。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提示可能存在的其他影响因素，避免把相关性表述为因果关系。</w:t>
      </w:r>
    </w:p>
    <w:p>
      <w:pPr>
        <w:pStyle w:val="Heading2"/>
      </w:pPr>
      <w:r>
        <w:t>8.9 FR-09 用户反馈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每次AI回答提供“有帮助”“没有帮助”“数字错误”“结论缺少依据”“建议不可执行”和“其他反馈”。反馈不得自动修改原始数据或预警规则。</w:t>
      </w:r>
    </w:p>
    <w:p>
      <w:pPr>
        <w:pStyle w:val="Heading1"/>
      </w:pPr>
      <w:r>
        <w:t>9. 数据需求</w:t>
      </w:r>
    </w:p>
    <w:p>
      <w:pPr>
        <w:pStyle w:val="Heading2"/>
      </w:pPr>
      <w:r>
        <w:t>9.1 一期数据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机构、责任区和经营月份。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保费实际、保费计划、经营利润和利润计划。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综合成本率、已赚赔付率和已赚费用率。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人均产能、人均利润、前后台人员和人力成本。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预警规则、风险等级、排名、同比和环比结果。</w:t>
      </w:r>
    </w:p>
    <w:p>
      <w:pPr>
        <w:pStyle w:val="Heading2"/>
      </w:pPr>
      <w:r>
        <w:t>9.2 二期建议补充数据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分险种保费、赔付率、费用率和综合成本率。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车险/非车险结构、渠道、新单和续保数据。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大额赔案、赔案频度、案均赔款和未决赔款。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准备金调整、固定费用、变动费用及预算偏差。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前台、后台、管理人员结构及岗位产出。</w:t>
      </w:r>
    </w:p>
    <w:p>
      <w:pPr>
        <w:pStyle w:val="Heading2"/>
      </w:pPr>
      <w:r>
        <w:t>9.3 AI分析前数据校验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校验项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处理要求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分母为零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相关比率标记为不可计算，不进入确定性结论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单位不一致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阻止分析并提示统一单位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比较期缺失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不生成同比、环比或持续趋势结论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指标口径不一致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阻止跨期或跨机构比较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重复导入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由数据层提示用户确认覆盖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异常极值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提示人工确认，不自动删除或修正</w:t>
            </w:r>
          </w:p>
        </w:tc>
      </w:tr>
    </w:tbl>
    <w:p>
      <w:pPr>
        <w:spacing w:after="20"/>
      </w:pPr>
    </w:p>
    <w:p>
      <w:pPr>
        <w:pStyle w:val="Heading1"/>
      </w:pPr>
      <w:r>
        <w:t>10. AI输出规范</w:t>
      </w:r>
    </w:p>
    <w:p>
      <w:pPr>
        <w:pStyle w:val="Heading2"/>
      </w:pPr>
      <w:r>
        <w:t>10.1 结构化输出</w:t>
      </w:r>
    </w:p>
    <w:p>
      <w:r>
        <w:rPr>
          <w:rFonts w:ascii="Arial" w:hAnsi="Arial" w:eastAsia="Microsoft YaHei"/>
          <w:b w:val="0"/>
          <w:i w:val="0"/>
          <w:color w:val="1A1A1A"/>
          <w:sz w:val="22"/>
        </w:rPr>
        <w:t>后端应要求模型返回结构化JSON，由前端按字段渲染，禁止将未经处理的模型HTML直接插入页面。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440"/>
        <w:gridCol w:w="552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字段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类型</w:t>
            </w:r>
          </w:p>
        </w:tc>
        <w:tc>
          <w:tcPr>
            <w:tcW w:type="dxa" w:w="5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summary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string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一句话经营结论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facts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array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包含指标、当前值、对标值、周期和证据ID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inferences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array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推断、置信度及依据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investigations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array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需要补充核查的数据或业务事实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recommendations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array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建议、周期、责任角色及关联指标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limitations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array</w:t>
            </w:r>
          </w:p>
        </w:tc>
        <w:tc>
          <w:tcPr>
            <w:tcW w:type="dxa" w:w="5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数据粒度、完整性和比较限制</w:t>
            </w:r>
          </w:p>
        </w:tc>
      </w:tr>
    </w:tbl>
    <w:p>
      <w:pPr>
        <w:spacing w:after="20"/>
      </w:pPr>
    </w:p>
    <w:p>
      <w:pPr>
        <w:pStyle w:val="Heading2"/>
      </w:pPr>
      <w:r>
        <w:t>10.2 生成约束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所有经营数字必须来自系统传入数据。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无比较数据时不得生成同比、环比或行业平均结论。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不得把内部预警阈值描述为监管或行业标准。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推断必须使用“可能”“建议核查”等非确定性表述。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无法判断时明确说明“现有数据不足以判断”。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建议应包含动作对象、执行方向和观察指标。</w:t>
      </w:r>
    </w:p>
    <w:p>
      <w:pPr>
        <w:pStyle w:val="Heading1"/>
      </w:pPr>
      <w:r>
        <w:t>11. 权限、安全与审计</w:t>
      </w:r>
    </w:p>
    <w:p>
      <w:pPr>
        <w:pStyle w:val="Heading2"/>
      </w:pPr>
      <w:r>
        <w:t>11.1 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3000"/>
        <w:gridCol w:w="4080"/>
      </w:tblGrid>
      <w:tr>
        <w:trPr>
          <w:tblHeader w:val="true"/>
        </w:trPr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角色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数据范围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AI能力</w:t>
            </w:r>
          </w:p>
        </w:tc>
      </w:tr>
      <w:tr>
        <w:tc>
          <w:tcPr>
            <w:tcW w:type="dxa" w:w="22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总公司管理层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全国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查看、比较、追问、创建任务</w:t>
            </w:r>
          </w:p>
        </w:tc>
      </w:tr>
      <w:tr>
        <w:tc>
          <w:tcPr>
            <w:tcW w:type="dxa" w:w="22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总公司职能部门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全国或专业范围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深度分析、专业核查、任务处理</w:t>
            </w:r>
          </w:p>
        </w:tc>
      </w:tr>
      <w:tr>
        <w:tc>
          <w:tcPr>
            <w:tcW w:type="dxa" w:w="22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责任区负责人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本责任区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查看、追问、创建任务</w:t>
            </w:r>
          </w:p>
        </w:tc>
      </w:tr>
      <w:tr>
        <w:tc>
          <w:tcPr>
            <w:tcW w:type="dxa" w:w="22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分公司负责人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本机构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查看、追问、反馈、处理任务</w:t>
            </w:r>
          </w:p>
        </w:tc>
      </w:tr>
      <w:tr>
        <w:tc>
          <w:tcPr>
            <w:tcW w:type="dxa" w:w="22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系统管理员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系统配置范围</w:t>
            </w:r>
          </w:p>
        </w:tc>
        <w:tc>
          <w:tcPr>
            <w:tcW w:type="dxa" w:w="40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规则、模型、权限和日志管理</w:t>
            </w:r>
          </w:p>
        </w:tc>
      </w:tr>
    </w:tbl>
    <w:p>
      <w:pPr>
        <w:spacing w:after="20"/>
      </w:pPr>
    </w:p>
    <w:p>
      <w:pPr>
        <w:pStyle w:val="Heading2"/>
      </w:pPr>
      <w:r>
        <w:t>11.2 安全要求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API密钥只能保存在服务端，不得下发到浏览器。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AI接口必须进行身份验证、数据权限校验和调用限流。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保存模型版本、提示词版本、调用时间、用户、机构和数据周期。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所有AI输出必须进行HTML转义和结构校验。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AI不得执行删除数据、修改配置、修改预警规则等高风险操作。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外部模型使用敏感业务数据前必须完成公司安全与合规评审。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支持关闭生成式AI，仅保留规则诊断。</w:t>
      </w:r>
    </w:p>
    <w:p>
      <w:pPr>
        <w:pStyle w:val="Heading1"/>
      </w:pPr>
      <w:r>
        <w:t>12. 异常处理与降级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异常场景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产品处理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AI未配置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显示基础诊断，隐藏或禁用AI生成入口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模型超时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提示稍后重试，不影响看板和基础报告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模型限流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提示排队或稍后重试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返回格式错误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自动重试一次，仍失败则降级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数据不足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说明缺少的数据，不输出强结论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比较期不存在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隐藏同比、环比和趋势判断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用户越权查询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拒绝请求并记录审计日志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模型输出疑似含错误数字</w:t>
            </w:r>
          </w:p>
        </w:tc>
        <w:tc>
          <w:tcPr>
            <w:tcW w:type="dxa" w:w="648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阻止展示并标记异常，回退基础报告</w:t>
            </w:r>
          </w:p>
        </w:tc>
      </w:tr>
    </w:tbl>
    <w:p>
      <w:pPr>
        <w:spacing w:after="20"/>
      </w:pPr>
    </w:p>
    <w:p>
      <w:pPr>
        <w:pStyle w:val="Heading1"/>
      </w:pPr>
      <w:r>
        <w:t>13.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类别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要求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性能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首字响应≤5秒；完整回答建议≤30秒；支持取消生成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稳定性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AI服务故障不得影响数据看板和规则诊断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兼容性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支持当前看板桌面端和移动端主要浏览器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可维护性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模型、提示词、输出Schema和规则版本可配置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可观测性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记录成功率、延迟、Token消耗、错误类型和降级次数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可测试性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具备固定评测数据集，可回归数字准确性和结论边界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可访问性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关键状态不能仅依赖颜色表达，交互元素可键盘操作</w:t>
            </w:r>
          </w:p>
        </w:tc>
      </w:tr>
    </w:tbl>
    <w:p>
      <w:pPr>
        <w:spacing w:after="20"/>
      </w:pPr>
    </w:p>
    <w:p>
      <w:pPr>
        <w:pStyle w:val="Heading1"/>
      </w:pPr>
      <w:r>
        <w:t>14. 验收标准与测试场景</w:t>
      </w:r>
    </w:p>
    <w:p>
      <w:pPr>
        <w:pStyle w:val="Heading2"/>
      </w:pPr>
      <w:r>
        <w:t>14.1 一期核心验收标准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有预警数据时，可以正常生成基础诊断报告。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AI服务正常时，可以返回并展示结构化深度解读。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AI服务异常时，基础诊断报告仍正常展示。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AI引用的数字与看板计算结果一致。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无上期数据时，不生成同比、环比或趋势结论。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用户可以围绕当前机构继续追问。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切换机构后，不携带上一机构的会话上下文。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每条重要结论均可查看数据依据。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AI明确区分事实、规则判断、推断和待核查事项。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用户可以评价AI回答，并记录反馈类型。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AI输出不能修改原始数据、规则或权限。</w:t>
      </w:r>
    </w:p>
    <w:p>
      <w:pPr>
        <w:numPr>
          <w:ilvl w:val="0"/>
          <w:numId w:val="22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所有调用均可通过审计日志追溯。</w:t>
      </w:r>
    </w:p>
    <w:p>
      <w:pPr>
        <w:pStyle w:val="Heading2"/>
      </w:pPr>
      <w:r>
        <w:t>14.2 专项测试场景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场景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预期结果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高赔付率、费用率正常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识别赔付端风险，建议核查大案和业务结构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高费用率、赔付率正常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识别费用驱动风险，建议核查费用科目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保费达成不足但COR良好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识别规模或收入端问题，不误判为成本恶化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人均产能和人均利润均偏低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识别人力效能问题并提示组织数据核查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只有单月数据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只描述当前表现，不判断持续趋势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缺少已赚保费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不计算相关比率，不生成确定性成本归因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同一数据重复生成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事实和关键结论保持稳定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恶意输入或越权提问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拒绝执行并记录日志</w:t>
            </w:r>
          </w:p>
        </w:tc>
      </w:tr>
    </w:tbl>
    <w:p>
      <w:pPr>
        <w:spacing w:after="20"/>
      </w:pPr>
    </w:p>
    <w:p>
      <w:pPr>
        <w:pStyle w:val="Heading1"/>
      </w:pPr>
      <w:r>
        <w:t>15. 排期、依赖与风险</w:t>
      </w:r>
    </w:p>
    <w:p>
      <w:pPr>
        <w:pStyle w:val="Heading2"/>
      </w:pPr>
      <w:r>
        <w:t>15.1 建议排期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0"/>
        <w:gridCol w:w="61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阶段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周期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交付内容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第一阶段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2-3周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页面重命名、AI接口接通、结构化上下文、深度解读、服务降级、可信标签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第二阶段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2周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追问、证据查看、预置问题、用户反馈、审计日志、基础评测集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第三阶段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3-4周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整改任务、权限和状态、下一周期复盘、整改统计</w:t>
            </w:r>
          </w:p>
        </w:tc>
      </w:tr>
    </w:tbl>
    <w:p>
      <w:pPr>
        <w:spacing w:after="20"/>
      </w:pPr>
    </w:p>
    <w:p>
      <w:pPr>
        <w:pStyle w:val="Heading2"/>
      </w:pPr>
      <w:r>
        <w:t>15.2 关键依赖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统一并确认核心经营指标口径。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确定大模型供应方式、网络环境和数据安全边界。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补充身份认证、机构权限和用户角色数据。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确定整改任务的责任部门、状态流转和提醒机制。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建立用于AI回归测试的脱敏样本数据集。</w:t>
      </w:r>
    </w:p>
    <w:p>
      <w:pPr>
        <w:pStyle w:val="Heading2"/>
      </w:pPr>
      <w:r>
        <w:t>15.3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20"/>
        <w:gridCol w:w="444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风险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影响</w:t>
            </w:r>
          </w:p>
        </w:tc>
        <w:tc>
          <w:tcPr>
            <w:tcW w:type="dxa" w:w="44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应对措施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模型编造数字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管理判断失真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关键数字由系统计算；Schema校验；展示前逐项核对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数据粒度不足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归因过度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强制区分推断与事实；输出待核查清单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外部模型数据风险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敏感信息泄露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安全评审、最小化传输、脱敏、权限和审计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建议难以落地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使用率低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建议结构化为动作、责任角色、期限和观察指标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用户过度依赖AI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忽略专业判断</w:t>
            </w:r>
          </w:p>
        </w:tc>
        <w:tc>
          <w:tcPr>
            <w:tcW w:type="dxa" w:w="444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8"/>
              </w:rPr>
              <w:t>持续提示管理参考属性，关键任务必须人工确认</w:t>
            </w:r>
          </w:p>
        </w:tc>
      </w:tr>
    </w:tbl>
    <w:p>
      <w:pPr>
        <w:spacing w:after="20"/>
      </w:pPr>
    </w:p>
    <w:p>
      <w:pPr>
        <w:pStyle w:val="Heading2"/>
      </w:pPr>
      <w:r>
        <w:t>15.4 一期发布门槛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规则报告稳定可用，AI故障不影响原看板。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数字引用准确率达到99%以上。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不存在机构数据越权问题。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关键结论具有可查看的数据证据。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完成不少于30组典型经营场景回归测试。</w:t>
      </w:r>
    </w:p>
    <w:p>
      <w:pPr>
        <w:numPr>
          <w:ilvl w:val="0"/>
          <w:numId w:val="21"/>
        </w:numPr>
        <w:spacing w:after="100"/>
      </w:pPr>
      <w:r>
        <w:rPr>
          <w:rFonts w:ascii="Arial" w:hAnsi="Arial" w:eastAsia="Microsoft YaHei"/>
          <w:b w:val="0"/>
          <w:i w:val="0"/>
          <w:color w:val="1A1A1A"/>
          <w:sz w:val="22"/>
        </w:rPr>
        <w:t>完成高赔付、高费用、保费不足、人力效能不足和数据缺失专项测试。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7F0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6B43"/>
                <w:sz w:val="22"/>
              </w:rPr>
              <w:t xml:space="preserve">最终产品建议 </w:t>
            </w:r>
            <w:r>
              <w:rPr>
                <w:rFonts w:ascii="Arial" w:hAnsi="Arial" w:eastAsia="Microsoft YaHei"/>
                <w:b w:val="0"/>
                <w:i w:val="0"/>
                <w:color w:val="176B43"/>
                <w:sz w:val="22"/>
              </w:rPr>
              <w:t>一期产品名称统一为“智能经营诊断”。基础诊断由规则引擎生成，AI深度解读作为增强能力，两者在页面上明确区分。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Arial" w:hAnsi="Arial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9E2F3"/>
      </w:pBdr>
    </w:pPr>
    <w:r>
      <w:rPr>
        <w:rFonts w:ascii="Arial" w:hAnsi="Arial" w:eastAsia="Microsoft YaHei"/>
        <w:b/>
        <w:i w:val="0"/>
        <w:color w:val="667085"/>
        <w:sz w:val="17"/>
      </w:rPr>
      <w:t>产品需求文档 PRD  |  智能经营诊断与整改闭环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620"/>
        </w:tabs>
        <w:ind w:left="620" w:hanging="300"/>
      </w:pPr>
    </w:lvl>
  </w:abstractNum>
  <w:num w:numId="21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680"/>
        </w:tabs>
        <w:ind w:left="680" w:hanging="320"/>
      </w:p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Callout">
    <w:name w:val="PRD Callout"/>
    <w:pPr>
      <w:spacing w:before="120" w:after="200" w:line="276" w:lineRule="auto"/>
      <w:ind w:left="259" w:right="259"/>
    </w:pPr>
    <w:rPr>
      <w:rFonts w:ascii="Microsoft YaHei" w:hAnsi="Microsoft YaHei" w:eastAsia="Microsoft YaHei"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智能经营诊断与整改闭环 PRD</dc:title>
  <dc:subject>分公司经营与效能数据看板 AI 能力升级</dc:subject>
  <dc:creator>产品团队</dc:creator>
  <cp:keywords>PRD, AI, 经营诊断, 预警, 整改闭环, 财险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