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00"/>
      </w:pPr>
      <w:r>
        <w:rPr>
          <w:rFonts w:ascii="Arial" w:hAnsi="Arial" w:eastAsia="Microsoft YaHei"/>
          <w:b/>
          <w:i w:val="0"/>
          <w:color w:val="2E74B5"/>
          <w:sz w:val="24"/>
        </w:rPr>
        <w:t>产品需求文档（修复专项）</w:t>
      </w:r>
    </w:p>
    <w:p>
      <w:pPr>
        <w:spacing w:after="160"/>
      </w:pPr>
      <w:r>
        <w:rPr>
          <w:rFonts w:ascii="Arial" w:hAnsi="Arial" w:eastAsia="Microsoft YaHei"/>
          <w:b/>
          <w:i w:val="0"/>
          <w:color w:val="17365D"/>
          <w:sz w:val="48"/>
        </w:rPr>
        <w:t>智能经营诊断 P0/P1 问题修复</w:t>
      </w:r>
    </w:p>
    <w:p>
      <w:pPr>
        <w:spacing w:after="400"/>
      </w:pPr>
      <w:r>
        <w:rPr>
          <w:rFonts w:ascii="Arial" w:hAnsi="Arial" w:eastAsia="Microsoft YaHei"/>
          <w:b w:val="0"/>
          <w:i w:val="0"/>
          <w:color w:val="667085"/>
          <w:sz w:val="26"/>
        </w:rPr>
        <w:t>以当前已实现版本为基线，面向受控试点和深度经营分析的修复方案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版本：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V1.0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状态：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产品与研发评审稿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基线：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2026年6月18日已实现版本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目标版本：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P0受控试点版 / P1经营分析增强版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优先级定义：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P0为发布阻断项；P1为试点后增强项</w:t>
      </w:r>
    </w:p>
    <w:p>
      <w:pPr>
        <w:spacing w:after="60"/>
      </w:pPr>
      <w:r>
        <w:rPr>
          <w:rFonts w:ascii="Arial" w:hAnsi="Arial" w:eastAsia="Microsoft YaHei"/>
          <w:b/>
          <w:i w:val="0"/>
          <w:color w:val="17365D"/>
          <w:sz w:val="21"/>
        </w:rPr>
        <w:t>编制日期：</w:t>
      </w:r>
      <w:r>
        <w:rPr>
          <w:rFonts w:ascii="Arial" w:hAnsi="Arial" w:eastAsia="Microsoft YaHei"/>
          <w:b w:val="0"/>
          <w:i w:val="0"/>
          <w:color w:val="1A1A1A"/>
          <w:sz w:val="21"/>
        </w:rPr>
        <w:t>2026年6月18日</w:t>
      </w:r>
    </w:p>
    <w:p>
      <w:pPr>
        <w:pBdr>
          <w:bottom w:val="single" w:sz="12" w:space="1" w:color="2E74B5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90" w:type="dxa"/>
              <w:bottom w:w="90" w:type="dxa"/>
              <w:start w:w="12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21"/>
              </w:rPr>
              <w:t xml:space="preserve">核心目标 </w:t>
            </w:r>
            <w:r>
              <w:rPr>
                <w:rFonts w:ascii="Arial" w:hAnsi="Arial" w:eastAsia="Microsoft YaHei"/>
                <w:b w:val="0"/>
                <w:i w:val="0"/>
                <w:color w:val="17365D"/>
                <w:sz w:val="21"/>
              </w:rPr>
              <w:t>修复诊断专业度下降、指标对标错误、整改方向误判和真实AI未验收等问题，在不破坏现有规则报告与公开静态版的前提下，形成可信、可测、可试点的智能经营诊断能力。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200"/>
        <w:gridCol w:w="1800"/>
        <w:gridCol w:w="1600"/>
        <w:gridCol w:w="4760"/>
      </w:tblGrid>
      <w:tr>
        <w:trPr>
          <w:tblHeader w:val="true"/>
        </w:trPr>
        <w:tc>
          <w:tcPr>
            <w:tcW w:type="dxa" w:w="2340"/>
            <w:tcW w:w="12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版本</w:t>
            </w:r>
          </w:p>
        </w:tc>
        <w:tc>
          <w:tcPr>
            <w:tcW w:type="dxa" w:w="2340"/>
            <w:tcW w:w="18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日期</w:t>
            </w:r>
          </w:p>
        </w:tc>
        <w:tc>
          <w:tcPr>
            <w:tcW w:type="dxa" w:w="2340"/>
            <w:tcW w:w="16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状态</w:t>
            </w:r>
          </w:p>
        </w:tc>
        <w:tc>
          <w:tcPr>
            <w:tcW w:type="dxa" w:w="2340"/>
            <w:tcW w:w="47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V1.0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2026-06-18</w:t>
            </w:r>
          </w:p>
        </w:tc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评审稿</w:t>
            </w:r>
          </w:p>
        </w:tc>
        <w:tc>
          <w:tcPr>
            <w:tcW w:type="dxa" w:w="4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定义P0阻断问题和P1增强问题的具体修复需求、验收标准与排期</w:t>
            </w:r>
          </w:p>
        </w:tc>
      </w:tr>
    </w:tbl>
    <w:p>
      <w:pPr>
        <w:spacing w:after="0"/>
      </w:pPr>
    </w:p>
    <w:p>
      <w:pPr>
        <w:pStyle w:val="Heading1"/>
      </w:pPr>
      <w:r>
        <w:t>1. 背景与基线结论</w:t>
      </w:r>
    </w:p>
    <w:p>
      <w:r>
        <w:rPr>
          <w:rFonts w:ascii="Arial" w:hAnsi="Arial" w:eastAsia="Microsoft YaHei"/>
          <w:b w:val="0"/>
          <w:i w:val="0"/>
          <w:color w:val="1A1A1A"/>
          <w:sz w:val="21"/>
        </w:rPr>
        <w:t>当前版本已经实现智能经营诊断页面、规则诊断、证据追溯、诊断快照、AI结构化接口、追问、反馈、整改任务、审计、权限和Docker部署配置。自动化测试、运行态冒烟、证据抽屉、任务草稿、状态流转和机构越权拦截均已通过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90" w:type="dxa"/>
              <w:bottom w:w="90" w:type="dxa"/>
              <w:start w:w="120" w:type="dxa"/>
              <w:end w:w="120" w:type="dxa"/>
            </w:tcMar>
            <w:shd w:fill="FFF4E5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9A6700"/>
                <w:sz w:val="21"/>
              </w:rPr>
              <w:t xml:space="preserve">发布判断 </w:t>
            </w:r>
            <w:r>
              <w:rPr>
                <w:rFonts w:ascii="Arial" w:hAnsi="Arial" w:eastAsia="Microsoft YaHei"/>
                <w:b w:val="0"/>
                <w:i w:val="0"/>
                <w:color w:val="9A6700"/>
                <w:sz w:val="21"/>
              </w:rPr>
              <w:t>当前版本适合内部演示和功能验证，但真实AI、诊断专业度、指标对标口径及整改复盘方向尚未达到全面生产发布标准。</w:t>
            </w:r>
          </w:p>
        </w:tc>
      </w:tr>
    </w:tbl>
    <w:p>
      <w:pPr>
        <w:spacing w:after="0"/>
      </w:pPr>
    </w:p>
    <w:p>
      <w:pPr>
        <w:pStyle w:val="Heading2"/>
      </w:pPr>
      <w:r>
        <w:t>1.1 问题分级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00"/>
        <w:gridCol w:w="4560"/>
        <w:gridCol w:w="3500"/>
      </w:tblGrid>
      <w:tr>
        <w:trPr>
          <w:tblHeader w:val="true"/>
        </w:trPr>
        <w:tc>
          <w:tcPr>
            <w:tcW w:type="dxa" w:w="3120"/>
            <w:tcW w:w="13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级别</w:t>
            </w:r>
          </w:p>
        </w:tc>
        <w:tc>
          <w:tcPr>
            <w:tcW w:type="dxa" w:w="3120"/>
            <w:tcW w:w="45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定义</w:t>
            </w:r>
          </w:p>
        </w:tc>
        <w:tc>
          <w:tcPr>
            <w:tcW w:type="dxa" w:w="3120"/>
            <w:tcW w:w="35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处理原则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不修复会导致错误经营结论、错误复盘、权限风险或无法完成真实AI验收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全部关闭后方可进入受控试点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P1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不阻断试点，但限制分析深度、管理价值或规模化使用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试点反馈验证后分批上线</w:t>
            </w:r>
          </w:p>
        </w:tc>
      </w:tr>
    </w:tbl>
    <w:p>
      <w:pPr>
        <w:spacing w:after="0"/>
      </w:pPr>
    </w:p>
    <w:p>
      <w:pPr>
        <w:pStyle w:val="Heading2"/>
      </w:pPr>
      <w:r>
        <w:t>1.2 本期范围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P0-01：统一规则诊断内核，恢复原有专业分析深度。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P0-02：建立指标元数据与对标策略，修复绝对金额错误对标。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P0-03：修复整改指标方向和复盘口径。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P0-04：建立真实AI评测、数字校验和发布门槛。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P0-05：机构编码、身份权限和生产部署验证。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P0-06：补齐关键接口、权限、会话、任务及审计自动化测试。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P1-01：多机构智能比较。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P1-02：多月趋势与异常分类。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P1-03：分险种、渠道、赔案和费用下钻。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P1-04：自然语言经营查询与会议摘要。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P1-05：整改工作台增强与运营指标。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目标</w:t>
      </w:r>
    </w:p>
    <w:p>
      <w:pPr>
        <w:numPr>
          <w:ilvl w:val="0"/>
          <w:numId w:val="32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新诊断页面的专业分析能力不得低于原规则报告。</w:t>
      </w:r>
    </w:p>
    <w:p>
      <w:pPr>
        <w:numPr>
          <w:ilvl w:val="0"/>
          <w:numId w:val="32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所有指标按业务属性选择正确的对标对象和改善方向。</w:t>
      </w:r>
    </w:p>
    <w:p>
      <w:pPr>
        <w:numPr>
          <w:ilvl w:val="0"/>
          <w:numId w:val="32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真实AI输出可被自动验证、可回归、可降级、可审计。</w:t>
      </w:r>
    </w:p>
    <w:p>
      <w:pPr>
        <w:numPr>
          <w:ilvl w:val="0"/>
          <w:numId w:val="32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整改复盘能够正确判断指标改善或恶化。</w:t>
      </w:r>
    </w:p>
    <w:p>
      <w:pPr>
        <w:numPr>
          <w:ilvl w:val="0"/>
          <w:numId w:val="32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机构权限使用稳定编码，避免名称和Header编码风险。</w:t>
      </w:r>
    </w:p>
    <w:p>
      <w:pPr>
        <w:numPr>
          <w:ilvl w:val="0"/>
          <w:numId w:val="32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P1形成从机构级异常发现到业务驱动下钻的分析链路。</w:t>
      </w:r>
    </w:p>
    <w:p>
      <w:pPr>
        <w:pStyle w:val="Heading2"/>
      </w:pPr>
      <w:r>
        <w:t>2.2 非目标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本期不改变原始经营指标计算口径。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本期不允许AI自动修改数据、规则或任务状态。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P0不建设完整工作流平台和消息中心。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P1不替代精算、理赔、财务等专业系统的明细分析。</w:t>
      </w:r>
    </w:p>
    <w:p>
      <w:pPr>
        <w:pStyle w:val="Heading1"/>
      </w:pPr>
      <w:r>
        <w:t>3. P0需求总览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00"/>
        <w:gridCol w:w="2350"/>
        <w:gridCol w:w="3550"/>
        <w:gridCol w:w="2160"/>
      </w:tblGrid>
      <w:tr>
        <w:trPr>
          <w:tblHeader w:val="true"/>
        </w:trPr>
        <w:tc>
          <w:tcPr>
            <w:tcW w:type="dxa" w:w="2340"/>
            <w:tcW w:w="13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需求编号</w:t>
            </w:r>
          </w:p>
        </w:tc>
        <w:tc>
          <w:tcPr>
            <w:tcW w:type="dxa" w:w="2340"/>
            <w:tcW w:w="235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需求名称</w:t>
            </w:r>
          </w:p>
        </w:tc>
        <w:tc>
          <w:tcPr>
            <w:tcW w:type="dxa" w:w="2340"/>
            <w:tcW w:w="355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业务风险</w:t>
            </w:r>
          </w:p>
        </w:tc>
        <w:tc>
          <w:tcPr>
            <w:tcW w:type="dxa" w:w="2340"/>
            <w:tcW w:w="21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发布要求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P0-01</w:t>
            </w:r>
          </w:p>
        </w:tc>
        <w:tc>
          <w:tcPr>
            <w:tcW w:type="dxa" w:w="23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统一诊断内核</w:t>
            </w:r>
          </w:p>
        </w:tc>
        <w:tc>
          <w:tcPr>
            <w:tcW w:type="dxa" w:w="3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新页面诊断深度低于原报告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阻断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P0-02</w:t>
            </w:r>
          </w:p>
        </w:tc>
        <w:tc>
          <w:tcPr>
            <w:tcW w:type="dxa" w:w="23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指标元数据与对标策略</w:t>
            </w:r>
          </w:p>
        </w:tc>
        <w:tc>
          <w:tcPr>
            <w:tcW w:type="dxa" w:w="3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绝对金额比较误导管理判断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阻断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P0-03</w:t>
            </w:r>
          </w:p>
        </w:tc>
        <w:tc>
          <w:tcPr>
            <w:tcW w:type="dxa" w:w="23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整改方向与复盘口径</w:t>
            </w:r>
          </w:p>
        </w:tc>
        <w:tc>
          <w:tcPr>
            <w:tcW w:type="dxa" w:w="3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改善结果可能被判为恶化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阻断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P0-04</w:t>
            </w:r>
          </w:p>
        </w:tc>
        <w:tc>
          <w:tcPr>
            <w:tcW w:type="dxa" w:w="23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真实AI评测与可信门禁</w:t>
            </w:r>
          </w:p>
        </w:tc>
        <w:tc>
          <w:tcPr>
            <w:tcW w:type="dxa" w:w="3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代码完成但质量未知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阻断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P0-05</w:t>
            </w:r>
          </w:p>
        </w:tc>
        <w:tc>
          <w:tcPr>
            <w:tcW w:type="dxa" w:w="23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机构编码与生产权限</w:t>
            </w:r>
          </w:p>
        </w:tc>
        <w:tc>
          <w:tcPr>
            <w:tcW w:type="dxa" w:w="3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名称编码、别名和越权风险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阻断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P0-06</w:t>
            </w:r>
          </w:p>
        </w:tc>
        <w:tc>
          <w:tcPr>
            <w:tcW w:type="dxa" w:w="23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关键链路测试补齐</w:t>
            </w:r>
          </w:p>
        </w:tc>
        <w:tc>
          <w:tcPr>
            <w:tcW w:type="dxa" w:w="3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回归风险不可控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阻断</w:t>
            </w:r>
          </w:p>
        </w:tc>
      </w:tr>
    </w:tbl>
    <w:p>
      <w:pPr>
        <w:spacing w:after="0"/>
      </w:pPr>
    </w:p>
    <w:p>
      <w:pPr>
        <w:pStyle w:val="Heading1"/>
      </w:pPr>
      <w:r>
        <w:t>4. P0-01 统一规则诊断内核</w:t>
      </w:r>
    </w:p>
    <w:p>
      <w:pPr>
        <w:pStyle w:val="Heading2"/>
      </w:pPr>
      <w:r>
        <w:t>4.1 问题</w:t>
      </w:r>
    </w:p>
    <w:p>
      <w:r>
        <w:rPr>
          <w:rFonts w:ascii="Arial" w:hAnsi="Arial" w:eastAsia="Microsoft YaHei"/>
          <w:b w:val="0"/>
          <w:i w:val="0"/>
          <w:color w:val="1A1A1A"/>
          <w:sz w:val="21"/>
        </w:rPr>
        <w:t>当前新页面只围绕8项指标构建诊断，风险等级主要按预警数量计算；原规则报告中的多维风险评分、经营模式识别、分层归因、排名考核和短中长期建议没有完整复用。</w:t>
      </w:r>
    </w:p>
    <w:p>
      <w:pPr>
        <w:pStyle w:val="Heading2"/>
      </w:pPr>
      <w:r>
        <w:t>4.2 目标方案</w:t>
      </w:r>
    </w:p>
    <w:p>
      <w:r>
        <w:rPr>
          <w:rFonts w:ascii="Arial" w:hAnsi="Arial" w:eastAsia="Microsoft YaHei"/>
          <w:b w:val="0"/>
          <w:i w:val="0"/>
          <w:color w:val="1A1A1A"/>
          <w:sz w:val="21"/>
        </w:rPr>
        <w:t>建立唯一的结构化诊断服务 buildDiagnosisModel。原规则引擎负责计算，新页面和原报告均消费同一结构化结果，禁止两套风险评分和建议逻辑并行演进。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3120"/>
            <w:tcW w:w="18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模块</w:t>
            </w:r>
          </w:p>
        </w:tc>
        <w:tc>
          <w:tcPr>
            <w:tcW w:type="dxa" w:w="3120"/>
            <w:tcW w:w="48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必须输出</w:t>
            </w:r>
          </w:p>
        </w:tc>
        <w:tc>
          <w:tcPr>
            <w:tcW w:type="dxa" w:w="3120"/>
            <w:tcW w:w="27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来源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风险等级</w:t>
            </w:r>
          </w:p>
        </w:tc>
        <w:tc>
          <w:tcPr>
            <w:tcW w:type="dxa" w:w="4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分数、等级、触发因子、规则版本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原多维风险矩阵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关键事实</w:t>
            </w:r>
          </w:p>
        </w:tc>
        <w:tc>
          <w:tcPr>
            <w:tcW w:type="dxa" w:w="4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当前值、对标值、排名、同比/环比、证据ID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指标计算与证据层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经营模式</w:t>
            </w:r>
          </w:p>
        </w:tc>
        <w:tc>
          <w:tcPr>
            <w:tcW w:type="dxa" w:w="4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模式名称、触发条件、业务含义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原经营模式识别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归因假设</w:t>
            </w:r>
          </w:p>
        </w:tc>
        <w:tc>
          <w:tcPr>
            <w:tcW w:type="dxa" w:w="4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推断、置信度、证据ID、缺失数据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规则诊断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核查清单</w:t>
            </w:r>
          </w:p>
        </w:tc>
        <w:tc>
          <w:tcPr>
            <w:tcW w:type="dxa" w:w="4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核查项、优先级、责任专业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规则诊断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管理建议</w:t>
            </w:r>
          </w:p>
        </w:tc>
        <w:tc>
          <w:tcPr>
            <w:tcW w:type="dxa" w:w="4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短中长期、动作、责任角色、观察指标</w:t>
            </w:r>
          </w:p>
        </w:tc>
        <w:tc>
          <w:tcPr>
            <w:tcW w:type="dxa" w:w="2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规则诊断</w:t>
            </w:r>
          </w:p>
        </w:tc>
      </w:tr>
    </w:tbl>
    <w:p>
      <w:pPr>
        <w:spacing w:after="0"/>
      </w:pPr>
    </w:p>
    <w:p>
      <w:pPr>
        <w:pStyle w:val="Heading2"/>
      </w:pPr>
      <w:r>
        <w:t>4.3 验收标准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同一机构、周期、数据版本和规则版本生成完全一致的诊断对象。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新页面至少覆盖原规则报告现有的风险等级、模式识别、三层风险表现、归因、核查和建议。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不存在旧页面显示高风险、新页面显示关注的冲突。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诊断对象包含schemaVersion、dataVersion和ruleVersion。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无预警但存在明显排名或对标异常时，仍能输出关注项。</w:t>
      </w:r>
    </w:p>
    <w:p>
      <w:pPr>
        <w:pStyle w:val="Heading1"/>
      </w:pPr>
      <w:r>
        <w:t>5. P0-02 指标元数据与对标策略</w:t>
      </w:r>
    </w:p>
    <w:p>
      <w:pPr>
        <w:pStyle w:val="Heading2"/>
      </w:pPr>
      <w:r>
        <w:t>5.1 指标元数据模型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3120"/>
            <w:tcW w:w="22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3120"/>
            <w:tcW w:w="39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说明</w:t>
            </w:r>
          </w:p>
        </w:tc>
        <w:tc>
          <w:tcPr>
            <w:tcW w:type="dxa" w:w="3120"/>
            <w:tcW w:w="32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示例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metricId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稳定指标编码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COR_ACTUAL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label/unit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展示名称与单位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综合成本率 / 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category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ratio / attainment / amount / productivity / count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ratio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direction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increase / decrease / target / neutral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decrease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benchmarkStrategy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weightedOverall / regional / median / plan / prior / peerGroup / none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weightedOverall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trendThreshold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判断改善、恶化和持平的最小变化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0.02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evidencePrecision</w:t>
            </w:r>
          </w:p>
        </w:tc>
        <w:tc>
          <w:tcPr>
            <w:tcW w:type="dxa" w:w="39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证据和AI引用精度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1位百分数</w:t>
            </w:r>
          </w:p>
        </w:tc>
      </w:tr>
    </w:tbl>
    <w:p>
      <w:pPr>
        <w:spacing w:after="0"/>
      </w:pPr>
    </w:p>
    <w:p>
      <w:pPr>
        <w:pStyle w:val="Heading2"/>
      </w:pPr>
      <w:r>
        <w:t>5.2 默认对标规则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4200"/>
        <w:gridCol w:w="2860"/>
      </w:tblGrid>
      <w:tr>
        <w:trPr>
          <w:tblHeader w:val="true"/>
        </w:trPr>
        <w:tc>
          <w:tcPr>
            <w:tcW w:type="dxa" w:w="3120"/>
            <w:tcW w:w="23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指标类型</w:t>
            </w:r>
          </w:p>
        </w:tc>
        <w:tc>
          <w:tcPr>
            <w:tcW w:type="dxa" w:w="3120"/>
            <w:tcW w:w="42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默认对标</w:t>
            </w:r>
          </w:p>
        </w:tc>
        <w:tc>
          <w:tcPr>
            <w:tcW w:type="dxa" w:w="3120"/>
            <w:tcW w:w="28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禁止行为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赔付率/费用率/COR</w:t>
            </w:r>
          </w:p>
        </w:tc>
        <w:tc>
          <w:tcPr>
            <w:tcW w:type="dxa" w:w="4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全国或责任区加权值；必要时同险种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使用简单平均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保费/利润达成率</w:t>
            </w:r>
          </w:p>
        </w:tc>
        <w:tc>
          <w:tcPr>
            <w:tcW w:type="dxa" w:w="4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计划目标、同期达成、同区域中位数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将达成率误当绝对金额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人均产能/人均利润</w:t>
            </w:r>
          </w:p>
        </w:tc>
        <w:tc>
          <w:tcPr>
            <w:tcW w:type="dxa" w:w="4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机构中位数、责任区或同规模组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直接使用全国总额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保费/利润绝对额</w:t>
            </w:r>
          </w:p>
        </w:tc>
        <w:tc>
          <w:tcPr>
            <w:tcW w:type="dxa" w:w="4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自身计划、同期、同规模机构组；默认不显示全国总额对标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分公司绝对额与全国合计直接比较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人数/费用金额</w:t>
            </w:r>
          </w:p>
        </w:tc>
        <w:tc>
          <w:tcPr>
            <w:tcW w:type="dxa" w:w="4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预算、同期或同规模组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仅按数值大小判断好坏</w:t>
            </w:r>
          </w:p>
        </w:tc>
      </w:tr>
    </w:tbl>
    <w:p>
      <w:pPr>
        <w:spacing w:after="0"/>
      </w:pPr>
    </w:p>
    <w:p>
      <w:pPr>
        <w:pStyle w:val="Heading2"/>
      </w:pPr>
      <w:r>
        <w:t>5.3 页面要求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证据抽屉展示“对标对象”和“对标策略”，例如“责任区加权值”或“自身年度计划”。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无合法对标对象时显示“暂不提供对标”，不得显示无业务意义的数字。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对标差异必须按指标方向生成解释，低赔付率为改善，高保费达成率为改善。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所有对标结果由事实层计算，AI只引用结果。</w:t>
      </w:r>
    </w:p>
    <w:p>
      <w:pPr>
        <w:pStyle w:val="Heading2"/>
      </w:pPr>
      <w:r>
        <w:t>5.4 验收标准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经营利润等绝对金额不再与全国合计直接对标。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区域比率使用保费或已赚保费加权，结果与计算引擎一致。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新增指标未配置元数据时禁止进入AI分析，并记录配置缺失日志。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至少覆盖现有全部核心指标的方向和对标策略。</w:t>
      </w:r>
    </w:p>
    <w:p>
      <w:pPr>
        <w:pStyle w:val="Heading1"/>
      </w:pPr>
      <w:r>
        <w:t>6. P0-03 整改方向与复盘口径</w:t>
      </w:r>
    </w:p>
    <w:p>
      <w:pPr>
        <w:pStyle w:val="Heading2"/>
      </w:pPr>
      <w:r>
        <w:t>6.1 修复要求</w:t>
      </w:r>
    </w:p>
    <w:p>
      <w:r>
        <w:rPr>
          <w:rFonts w:ascii="Arial" w:hAnsi="Arial" w:eastAsia="Microsoft YaHei"/>
          <w:b w:val="0"/>
          <w:i w:val="0"/>
          <w:color w:val="1A1A1A"/>
          <w:sz w:val="21"/>
        </w:rPr>
        <w:t>整改任务不得再通过指标名称是否包含“率”推断方向，必须读取指标元数据 direction。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3120"/>
            <w:tcW w:w="18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direction</w:t>
            </w:r>
          </w:p>
        </w:tc>
        <w:tc>
          <w:tcPr>
            <w:tcW w:type="dxa" w:w="3120"/>
            <w:tcW w:w="30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含义</w:t>
            </w:r>
          </w:p>
        </w:tc>
        <w:tc>
          <w:tcPr>
            <w:tcW w:type="dxa" w:w="3120"/>
            <w:tcW w:w="45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复盘逻辑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increase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越高越好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当前值高于整改前为改善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decrease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越低越好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当前值低于整改前为改善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target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接近目标值最好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比较与目标值的距离是否缩小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neutral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仅观察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只展示变化，不评价改善或恶化</w:t>
            </w:r>
          </w:p>
        </w:tc>
      </w:tr>
    </w:tbl>
    <w:p>
      <w:pPr>
        <w:spacing w:after="0"/>
      </w:pPr>
    </w:p>
    <w:p>
      <w:pPr>
        <w:pStyle w:val="Heading2"/>
      </w:pPr>
      <w:r>
        <w:t>6.2 复盘输出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整改前值、整改后值、变化值和变化比例。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目标值、是否达标和距离目标的变化。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对标值变化及机构排名变化。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明显改善、小幅改善、无明显变化、继续恶化或数据不足。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固定提示：指标变化不等于整改措施与结果之间存在确定因果关系。</w:t>
      </w:r>
    </w:p>
    <w:p>
      <w:pPr>
        <w:pStyle w:val="Heading2"/>
      </w:pPr>
      <w:r>
        <w:t>6.3 验收场景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000"/>
        <w:gridCol w:w="5360"/>
      </w:tblGrid>
      <w:tr>
        <w:trPr>
          <w:tblHeader w:val="true"/>
        </w:trPr>
        <w:tc>
          <w:tcPr>
            <w:tcW w:type="dxa" w:w="4680"/>
            <w:tcW w:w="40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场景</w:t>
            </w:r>
          </w:p>
        </w:tc>
        <w:tc>
          <w:tcPr>
            <w:tcW w:type="dxa" w:w="4680"/>
            <w:tcW w:w="53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预期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保费达成率80%升至95%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判定改善，不得因名称含“率”判为恶化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赔付率75%降至68%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判定改善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COR105%降至99%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判定明显改善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目标型指标从90偏离至95，目标100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判定向目标改善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后续周期缺少同一指标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判定数据不足，不生成结论</w:t>
            </w:r>
          </w:p>
        </w:tc>
      </w:tr>
    </w:tbl>
    <w:p>
      <w:pPr>
        <w:spacing w:after="0"/>
      </w:pPr>
    </w:p>
    <w:p>
      <w:pPr>
        <w:pStyle w:val="Heading1"/>
      </w:pPr>
      <w:r>
        <w:t>7. P0-04 真实AI评测与可信门禁</w:t>
      </w:r>
    </w:p>
    <w:p>
      <w:pPr>
        <w:pStyle w:val="Heading2"/>
      </w:pPr>
      <w:r>
        <w:t>7.1 评测环境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使用脱敏诊断快照，覆盖高赔付、高费用、规模不足、人效不足、单月数据、分母为零、单位不一致等不少于30个案例。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每个案例包含输入数据、允许结论、禁止结论、必须引用证据和预期建议方向。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固定模型、提示词版本、Schema版本和温度参数，保证可重复评测。</w:t>
      </w:r>
    </w:p>
    <w:p>
      <w:pPr>
        <w:pStyle w:val="Heading2"/>
      </w:pPr>
      <w:r>
        <w:t>7.2 可信门禁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880"/>
        <w:gridCol w:w="2520"/>
        <w:gridCol w:w="3960"/>
      </w:tblGrid>
      <w:tr>
        <w:trPr>
          <w:tblHeader w:val="true"/>
        </w:trPr>
        <w:tc>
          <w:tcPr>
            <w:tcW w:type="dxa" w:w="3120"/>
            <w:tcW w:w="288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3120"/>
            <w:tcW w:w="252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P0发布标准</w:t>
            </w:r>
          </w:p>
        </w:tc>
        <w:tc>
          <w:tcPr>
            <w:tcW w:type="dxa" w:w="3120"/>
            <w:tcW w:w="39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阻断条件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数字引用准确率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≥99%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任何关键金额、比例或排名与证据不一致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无依据结论率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≤2%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推断无证据或缺少数据不足声明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Schema成功率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≥98%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结构错误重试后仍失败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关键禁区违规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编造同比、行业标准、确定性归因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首字响应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P95≤5秒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P95超过8秒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完整响应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P95≤30秒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大面积超时或无法取消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降级成功率</w:t>
            </w:r>
          </w:p>
        </w:tc>
        <w:tc>
          <w:tcPr>
            <w:tcW w:type="dxa" w:w="25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100%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AI失败影响基础诊断</w:t>
            </w:r>
          </w:p>
        </w:tc>
      </w:tr>
    </w:tbl>
    <w:p>
      <w:pPr>
        <w:spacing w:after="0"/>
      </w:pPr>
    </w:p>
    <w:p>
      <w:pPr>
        <w:pStyle w:val="Heading2"/>
      </w:pPr>
      <w:r>
        <w:t>7.3 产品处理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AI输出必须先通过Schema、证据ID和数字校验，再展示给用户。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校验失败自动重试一次；仍失败时显示基础诊断并记录失败原因。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提示词和模型版本进入审计日志，支持按版本比较评测结果。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AI按钮展示服务状态；关闭、限流、超时和安全拦截使用不同文案。</w:t>
      </w:r>
    </w:p>
    <w:p>
      <w:pPr>
        <w:pStyle w:val="Heading1"/>
      </w:pPr>
      <w:r>
        <w:t>8. P0-05 机构编码、权限与生产部署</w:t>
      </w:r>
    </w:p>
    <w:p>
      <w:pPr>
        <w:pStyle w:val="Heading2"/>
      </w:pPr>
      <w:r>
        <w:t>8.1 机构权限模型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4680"/>
            <w:tcW w:w="26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字段</w:t>
            </w:r>
          </w:p>
        </w:tc>
        <w:tc>
          <w:tcPr>
            <w:tcW w:type="dxa" w:w="4680"/>
            <w:tcW w:w="67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要求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orgId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稳定机构编码，不使用中文名称作为权限主键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orgName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展示名称，可调整但不影响权限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orgType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hq / region / branch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parentOrgId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支持总公司、责任区、分公司树形范围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allowedOrgIds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由身份网关或服务端会话注入</w:t>
            </w:r>
          </w:p>
        </w:tc>
      </w:tr>
    </w:tbl>
    <w:p>
      <w:pPr>
        <w:spacing w:after="0"/>
      </w:pPr>
    </w:p>
    <w:p>
      <w:pPr>
        <w:pStyle w:val="Heading2"/>
      </w:pPr>
      <w:r>
        <w:t>8.2 安全要求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生产环境只接受可信身份网关注入的标准ASCII Header或服务端Token。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浏览器localStorage中的用户、角色和机构信息仅可用于开发演示，不得作为生产身份依据。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服务端按orgId校验诊断、证据、会话、反馈、任务和复盘全部对象。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管理员审计接口保持单独权限，记录查询人和查询条件。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PostgreSQL和Docker环境必须完成真实启动、迁移、重启和数据持久化验证。</w:t>
      </w:r>
    </w:p>
    <w:p>
      <w:pPr>
        <w:pStyle w:val="Heading2"/>
      </w:pPr>
      <w:r>
        <w:t>8.3 验收标准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分公司用户不能通过修改请求参数访问其他机构数据。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机构改名后历史诊断、任务和审计仍可正确关联。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生产环境未配置proxy或token鉴权时拒绝启动。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应用重启后诊断、任务、反馈和审计数据不丢失。</w:t>
      </w:r>
    </w:p>
    <w:p>
      <w:pPr>
        <w:pStyle w:val="Heading1"/>
      </w:pPr>
      <w:r>
        <w:t>9. P0-06 测试与发布保障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4680"/>
            <w:tcW w:w="22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测试域</w:t>
            </w:r>
          </w:p>
        </w:tc>
        <w:tc>
          <w:tcPr>
            <w:tcW w:type="dxa" w:w="4680"/>
            <w:tcW w:w="71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必须覆盖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规则诊断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新旧诊断一致性、模式识别、无预警异常、缺失数据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指标元数据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全部核心指标方向、对标策略、未配置指标拦截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AI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成功、Schema错误、数字错误、超时、限流、取消、降级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会话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同机构连续追问、切换机构隔离、历史上限、取消保存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权限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五类角色、跨机构访问、审计接口、伪造Header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整改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创建、确认、执行、完成、关闭、非法跳转、逾期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复盘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四类方向、目标达成、无数据、跨机构/错误周期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部署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SQLite开发、PostgreSQL生产、容器重启、静态公开版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90" w:type="dxa"/>
              <w:bottom w:w="90" w:type="dxa"/>
              <w:start w:w="120" w:type="dxa"/>
              <w:end w:w="120" w:type="dxa"/>
            </w:tcMar>
            <w:shd w:fill="EAF7F0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6B43"/>
                <w:sz w:val="21"/>
              </w:rPr>
              <w:t xml:space="preserve">P0完成定义 </w:t>
            </w:r>
            <w:r>
              <w:rPr>
                <w:rFonts w:ascii="Arial" w:hAnsi="Arial" w:eastAsia="Microsoft YaHei"/>
                <w:b w:val="0"/>
                <w:i w:val="0"/>
                <w:color w:val="176B43"/>
                <w:sz w:val="21"/>
              </w:rPr>
              <w:t>全部P0验收用例通过；无Critical/High缺陷；真实AI评测达到门禁；生产鉴权和PostgreSQL部署完成验证；公开静态版仍保持AI关闭和数据不外传。</w:t>
            </w:r>
          </w:p>
        </w:tc>
      </w:tr>
    </w:tbl>
    <w:p>
      <w:pPr>
        <w:spacing w:after="0"/>
      </w:pPr>
    </w:p>
    <w:p>
      <w:pPr>
        <w:pStyle w:val="Heading1"/>
      </w:pPr>
      <w:r>
        <w:t>10. P1需求总览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3120"/>
            <w:tcW w:w="15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需求编号</w:t>
            </w:r>
          </w:p>
        </w:tc>
        <w:tc>
          <w:tcPr>
            <w:tcW w:type="dxa" w:w="3120"/>
            <w:tcW w:w="30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名称</w:t>
            </w:r>
          </w:p>
        </w:tc>
        <w:tc>
          <w:tcPr>
            <w:tcW w:type="dxa" w:w="3120"/>
            <w:tcW w:w="48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核心价值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P1-01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多机构智能比较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从单机构诊断升级为差异化管理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P1-02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多月趋势与异常分类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区分短期波动和方向性变化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P1-03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业务驱动下钻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从结果指标定位险种、渠道、赔案和费用驱动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P1-04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自然语言查询与会议摘要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降低管理人员分析和汇报成本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P1-05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整改工作台增强</w:t>
            </w:r>
          </w:p>
        </w:tc>
        <w:tc>
          <w:tcPr>
            <w:tcW w:type="dxa" w:w="48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形成可运营、可统计的改善闭环</w:t>
            </w:r>
          </w:p>
        </w:tc>
      </w:tr>
    </w:tbl>
    <w:p>
      <w:pPr>
        <w:spacing w:after="0"/>
      </w:pPr>
    </w:p>
    <w:p>
      <w:pPr>
        <w:pStyle w:val="Heading1"/>
      </w:pPr>
      <w:r>
        <w:t>11. P1-01 多机构智能比较</w:t>
      </w:r>
    </w:p>
    <w:p>
      <w:pPr>
        <w:pStyle w:val="Heading2"/>
      </w:pPr>
      <w:r>
        <w:t>11.1 功能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支持选择2至5家分公司，默认同责任区或同规模组。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比较经营风险、核心指标、经营模式、趋势和整改状态。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输出共性问题、差异问题、标杆机构和差异化建议。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比较必须使用同周期、同口径和同一计划版本数据。</w:t>
      </w:r>
    </w:p>
    <w:p>
      <w:pPr>
        <w:pStyle w:val="Heading2"/>
      </w:pPr>
      <w:r>
        <w:t>11.2 交互</w:t>
      </w:r>
    </w:p>
    <w:p>
      <w:r>
        <w:rPr>
          <w:rFonts w:ascii="Arial" w:hAnsi="Arial" w:eastAsia="Microsoft YaHei"/>
          <w:b w:val="0"/>
          <w:i w:val="0"/>
          <w:color w:val="1A1A1A"/>
          <w:sz w:val="21"/>
        </w:rPr>
        <w:t>诊断工具栏增加“机构比较”。用户选择机构后展示比较矩阵和AI摘要；可从比较结果跳转到单机构证据和整改任务。</w:t>
      </w:r>
    </w:p>
    <w:p>
      <w:pPr>
        <w:pStyle w:val="Heading2"/>
      </w:pPr>
      <w:r>
        <w:t>11.3 验收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绝对金额按同规模组或自身计划比较，不以全国合计直接排序。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比较周期或口径不一致时阻止生成并说明原因。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所有AI比较结论可追溯到机构和指标证据。</w:t>
      </w:r>
    </w:p>
    <w:p>
      <w:pPr>
        <w:pStyle w:val="Heading1"/>
      </w:pPr>
      <w:r>
        <w:t>12. P1-02 多月趋势与异常分类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4680"/>
            <w:tcW w:w="22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状态</w:t>
            </w:r>
          </w:p>
        </w:tc>
        <w:tc>
          <w:tcPr>
            <w:tcW w:type="dxa" w:w="4680"/>
            <w:tcW w:w="71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判定要求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持续改善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至少3个连续有效周期，按指标方向连续改善且超过阈值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持续恶化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至少3个连续有效周期，按指标方向连续恶化且超过阈值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高位波动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围绕风险阈值以上波动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低位波动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处于健康区间但月度波动明显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单月异常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当前月显著偏离前期区间，前期相对稳定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数据不足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不足3个有效周期或口径不一致</w:t>
            </w:r>
          </w:p>
        </w:tc>
      </w:tr>
    </w:tbl>
    <w:p>
      <w:pPr>
        <w:spacing w:after="0"/>
      </w:pP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趋势阈值由指标元数据配置，不使用统一固定阈值。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趋势证据展示各月数值、变化和口径版本。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AI不得基于单月数据使用“持续”“趋势性”等表述。</w:t>
      </w:r>
    </w:p>
    <w:p>
      <w:pPr>
        <w:pStyle w:val="Heading1"/>
      </w:pPr>
      <w:r>
        <w:t>13. P1-03 分险种、渠道、赔案和费用下钻</w:t>
      </w:r>
    </w:p>
    <w:p>
      <w:pPr>
        <w:pStyle w:val="Heading2"/>
      </w:pPr>
      <w:r>
        <w:t>13.1 数据主题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320"/>
        <w:gridCol w:w="3540"/>
      </w:tblGrid>
      <w:tr>
        <w:trPr>
          <w:tblHeader w:val="true"/>
        </w:trPr>
        <w:tc>
          <w:tcPr>
            <w:tcW w:type="dxa" w:w="3120"/>
            <w:tcW w:w="15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主题</w:t>
            </w:r>
          </w:p>
        </w:tc>
        <w:tc>
          <w:tcPr>
            <w:tcW w:type="dxa" w:w="3120"/>
            <w:tcW w:w="432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最低数据字段</w:t>
            </w:r>
          </w:p>
        </w:tc>
        <w:tc>
          <w:tcPr>
            <w:tcW w:type="dxa" w:w="3120"/>
            <w:tcW w:w="354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典型问题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险种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险种、保费、已赚保费、赔付、费用、COR</w:t>
            </w:r>
          </w:p>
        </w:tc>
        <w:tc>
          <w:tcPr>
            <w:tcW w:type="dxa" w:w="35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亏损由哪些险种驱动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渠道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渠道、保费、新单、续保、费用、赔付</w:t>
            </w:r>
          </w:p>
        </w:tc>
        <w:tc>
          <w:tcPr>
            <w:tcW w:type="dxa" w:w="35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增长是否来自低质量渠道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赔案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赔案号、险种、金额、出险/结案时间、大案标识</w:t>
            </w:r>
          </w:p>
        </w:tc>
        <w:tc>
          <w:tcPr>
            <w:tcW w:type="dxa" w:w="35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高赔付是否由大案或频度驱动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费用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费用科目、预算、实际、固定/变动属性</w:t>
            </w:r>
          </w:p>
        </w:tc>
        <w:tc>
          <w:tcPr>
            <w:tcW w:type="dxa" w:w="35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费用偏差来自哪些科目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人员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组织、岗位、前后台、人数、人力成本、产出</w:t>
            </w:r>
          </w:p>
        </w:tc>
        <w:tc>
          <w:tcPr>
            <w:tcW w:type="dxa" w:w="354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人效问题来自结构还是产出</w:t>
            </w:r>
          </w:p>
        </w:tc>
      </w:tr>
    </w:tbl>
    <w:p>
      <w:pPr>
        <w:spacing w:after="0"/>
      </w:pPr>
    </w:p>
    <w:p>
      <w:pPr>
        <w:pStyle w:val="Heading2"/>
      </w:pPr>
      <w:r>
        <w:t>13.2 下钻路径</w:t>
      </w:r>
    </w:p>
    <w:p>
      <w:r>
        <w:rPr>
          <w:rFonts w:ascii="Arial" w:hAnsi="Arial" w:eastAsia="Microsoft YaHei"/>
          <w:b w:val="0"/>
          <w:i w:val="0"/>
          <w:color w:val="1A1A1A"/>
          <w:sz w:val="21"/>
        </w:rPr>
        <w:t>机构异常 → 指标异常 → 业务主题 → 驱动项排序 → 明细核查清单 → 改善建议。</w:t>
      </w:r>
    </w:p>
    <w:p>
      <w:pPr>
        <w:pStyle w:val="Heading2"/>
      </w:pPr>
      <w:r>
        <w:t>13.3 约束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下钻数据必须标记来源系统、更新时间和口径。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缺少业务明细时只输出核查建议，不输出确定性根因。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涉及赔案和人员明细时按权限脱敏展示。</w:t>
      </w:r>
    </w:p>
    <w:p>
      <w:pPr>
        <w:pStyle w:val="Heading1"/>
      </w:pPr>
      <w:r>
        <w:t>14. P1-04 自然语言查询与会议摘要</w:t>
      </w:r>
    </w:p>
    <w:p>
      <w:pPr>
        <w:pStyle w:val="Heading2"/>
      </w:pPr>
      <w:r>
        <w:t>14.1 查询能力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支持“本月高风险机构有哪些”“第三责任区费用率最高的三家机构”等受控查询。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查询先解析为结构化意图和指标编码，再由数据层执行，模型不得直接计算。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返回结果包含筛选条件、口径、周期和证据链接。</w:t>
      </w:r>
    </w:p>
    <w:p>
      <w:pPr>
        <w:pStyle w:val="Heading2"/>
      </w:pPr>
      <w:r>
        <w:t>14.2 摘要模板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4680"/>
            <w:tcW w:w="23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模板</w:t>
            </w:r>
          </w:p>
        </w:tc>
        <w:tc>
          <w:tcPr>
            <w:tcW w:type="dxa" w:w="4680"/>
            <w:tcW w:w="70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输出内容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总公司经营分析会</w:t>
            </w:r>
          </w:p>
        </w:tc>
        <w:tc>
          <w:tcPr>
            <w:tcW w:type="dxa" w:w="70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全国概况、高风险机构、共性问题、重点整改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责任区分析会</w:t>
            </w:r>
          </w:p>
        </w:tc>
        <w:tc>
          <w:tcPr>
            <w:tcW w:type="dxa" w:w="70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区域对标、机构分层、标杆与落后机构、行动清单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分公司专题会</w:t>
            </w:r>
          </w:p>
        </w:tc>
        <w:tc>
          <w:tcPr>
            <w:tcW w:type="dxa" w:w="70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本机构风险、驱动因素、核查事项、整改进度</w:t>
            </w:r>
          </w:p>
        </w:tc>
      </w:tr>
    </w:tbl>
    <w:p>
      <w:pPr>
        <w:spacing w:after="0"/>
      </w:pPr>
    </w:p>
    <w:p>
      <w:pPr>
        <w:pStyle w:val="Heading1"/>
      </w:pPr>
      <w:r>
        <w:t>15. P1-05 整改工作台增强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任务详情页支持编辑记录、状态历史、复盘历史和附件索引。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责任部门和责任人使用组织目录选择器，不使用浏览器prompt。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增加到期提醒、逾期标识、责任区升级和任务筛选。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增加任务按机构、部门、指标、状态和逾期情况统计。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形成建议采纳率、任务完成率、逾期率、目标达成率和指标改善率。</w:t>
      </w:r>
    </w:p>
    <w:p>
      <w:pPr>
        <w:pStyle w:val="Heading1"/>
      </w:pPr>
      <w:r>
        <w:t>16. 数据与接口改造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4680"/>
            <w:tcW w:w="24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对象</w:t>
            </w:r>
          </w:p>
        </w:tc>
        <w:tc>
          <w:tcPr>
            <w:tcW w:type="dxa" w:w="4680"/>
            <w:tcW w:w="69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新增关键字段/接口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metric_metadata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metric_id、category、direction、benchmark_strategy、trend_threshold、precision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organizations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org_id、org_name、org_type、parent_org_id、status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diagnoses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schema_version、org_id、comparison_scope、diagnosis_score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evidence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benchmark_type、benchmark_label、metric_id、calculation_version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remediation_tasks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direction、target_type、status_history、source_recommendation_id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reviews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rank_change、benchmark_change、distance_to_target_change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AI评测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POST /api/evaluations/run；GET /api/evaluations/{id}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多机构比较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POST /api/comparisons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自然语言查询</w:t>
            </w:r>
          </w:p>
        </w:tc>
        <w:tc>
          <w:tcPr>
            <w:tcW w:type="dxa" w:w="69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POST /api/queries/execute</w:t>
            </w:r>
          </w:p>
        </w:tc>
      </w:tr>
    </w:tbl>
    <w:p>
      <w:pPr>
        <w:spacing w:after="0"/>
      </w:pPr>
    </w:p>
    <w:p>
      <w:pPr>
        <w:pStyle w:val="Heading1"/>
      </w:pPr>
      <w:r>
        <w:t>17. 埋点与运营指标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4680"/>
            <w:tcW w:w="30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指标</w:t>
            </w:r>
          </w:p>
        </w:tc>
        <w:tc>
          <w:tcPr>
            <w:tcW w:type="dxa" w:w="4680"/>
            <w:tcW w:w="63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定义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诊断打开率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查看智能诊断的活跃用户/看板活跃用户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AI生成率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生成AI解读的诊断数/可生成诊断数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证据查看率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点击查看依据的AI或规则结论占比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追问率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发生追问的诊断会话占比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建议采纳率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转为整改任务的建议占比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任务完成率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已完成及关闭任务/已确认任务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整改改善率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复盘结果为明显或小幅改善的任务占比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AI失败降级率</w:t>
            </w:r>
          </w:p>
        </w:tc>
        <w:tc>
          <w:tcPr>
            <w:tcW w:type="dxa" w:w="63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AI失败后成功回退基础诊断的比例</w:t>
            </w:r>
          </w:p>
        </w:tc>
      </w:tr>
    </w:tbl>
    <w:p>
      <w:pPr>
        <w:spacing w:after="0"/>
      </w:pPr>
    </w:p>
    <w:p>
      <w:pPr>
        <w:pStyle w:val="Heading1"/>
      </w:pPr>
      <w:r>
        <w:t>18. 排期与里程碑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50"/>
        <w:gridCol w:w="1550"/>
        <w:gridCol w:w="3500"/>
        <w:gridCol w:w="2560"/>
      </w:tblGrid>
      <w:tr>
        <w:trPr>
          <w:tblHeader w:val="true"/>
        </w:trPr>
        <w:tc>
          <w:tcPr>
            <w:tcW w:type="dxa" w:w="2340"/>
            <w:tcW w:w="175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里程碑</w:t>
            </w:r>
          </w:p>
        </w:tc>
        <w:tc>
          <w:tcPr>
            <w:tcW w:type="dxa" w:w="2340"/>
            <w:tcW w:w="155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建议周期</w:t>
            </w:r>
          </w:p>
        </w:tc>
        <w:tc>
          <w:tcPr>
            <w:tcW w:type="dxa" w:w="2340"/>
            <w:tcW w:w="350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交付内容</w:t>
            </w:r>
          </w:p>
        </w:tc>
        <w:tc>
          <w:tcPr>
            <w:tcW w:type="dxa" w:w="2340"/>
            <w:tcW w:w="2560" w:type="dxa"/>
            <w:tcMar>
              <w:top w:w="90" w:type="dxa"/>
              <w:bottom w:w="9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8"/>
              </w:rPr>
              <w:t>退出条件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M1 P0事实与口径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1.5周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统一诊断内核、指标元数据、对标策略、整改方向</w:t>
            </w:r>
          </w:p>
        </w:tc>
        <w:tc>
          <w:tcPr>
            <w:tcW w:type="dxa" w:w="2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业务口径评审通过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M2 P0可信AI与权限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1.5周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真实AI评测、机构编码、权限、测试补齐</w:t>
            </w:r>
          </w:p>
        </w:tc>
        <w:tc>
          <w:tcPr>
            <w:tcW w:type="dxa" w:w="2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P0发布门禁通过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M3 受控试点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2周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3-5家机构试点、反馈和指标监测</w:t>
            </w:r>
          </w:p>
        </w:tc>
        <w:tc>
          <w:tcPr>
            <w:tcW w:type="dxa" w:w="2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无高风险缺陷，用户满意率达标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M4 P1比较与趋势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2周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多机构比较、多月趋势</w:t>
            </w:r>
          </w:p>
        </w:tc>
        <w:tc>
          <w:tcPr>
            <w:tcW w:type="dxa" w:w="2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功能与口径验收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M5 P1下钻与运营</w:t>
            </w:r>
          </w:p>
        </w:tc>
        <w:tc>
          <w:tcPr>
            <w:tcW w:type="dxa" w:w="155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3-4周</w:t>
            </w:r>
          </w:p>
        </w:tc>
        <w:tc>
          <w:tcPr>
            <w:tcW w:type="dxa" w:w="35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业务主题下钻、查询、摘要、整改增强</w:t>
            </w:r>
          </w:p>
        </w:tc>
        <w:tc>
          <w:tcPr>
            <w:tcW w:type="dxa" w:w="25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A1A1A"/>
                <w:sz w:val="17"/>
              </w:rPr>
              <w:t>试点扩围评审通过</w:t>
            </w:r>
          </w:p>
        </w:tc>
      </w:tr>
    </w:tbl>
    <w:p>
      <w:pPr>
        <w:spacing w:after="0"/>
      </w:pPr>
    </w:p>
    <w:p>
      <w:pPr>
        <w:pStyle w:val="Heading1"/>
      </w:pPr>
      <w:r>
        <w:t>19. 发布策略</w:t>
      </w:r>
    </w:p>
    <w:p>
      <w:pPr>
        <w:pStyle w:val="Heading2"/>
      </w:pPr>
      <w:r>
        <w:t>19.1 P0受控试点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默认AI关闭，由管理员按试点机构白名单开启。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保留基础诊断作为始终可用的降级路径。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试点期间每日监控错误、数字校验失败、响应时延和用户反馈。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发现关键数字错误、越权或错误整改复盘时立即关闭AI增强能力。</w:t>
      </w:r>
    </w:p>
    <w:p>
      <w:pPr>
        <w:pStyle w:val="Heading2"/>
      </w:pPr>
      <w:r>
        <w:t>19.2 P1灰度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多机构比较和趋势分析先向总公司及责任区角色开放。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明细下钻按数据主题逐项灰度，并单独完成权限评审。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自然语言查询仅开放白名单意图，不支持任意SQL或自由数据访问。</w:t>
      </w:r>
    </w:p>
    <w:p>
      <w:pPr>
        <w:pStyle w:val="Heading1"/>
      </w:pPr>
      <w:r>
        <w:t>20. 最终验收清单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新旧页面风险等级和专业诊断逻辑一致。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全部核心指标已配置方向、类型和对标策略。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绝对金额不存在与全国合计直接对标。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整改复盘通过increase/decrease/target/neutral全部用例。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真实AI评测达到数字、Schema、禁区和性能门禁。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机构权限使用orgId并通过跨机构越权测试。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PostgreSQL、容器重启和数据持久化验证完成。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关键API、权限、会话、反馈、任务、复盘和审计测试通过。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公开静态版AI关闭且不发送经营数据。</w:t>
      </w:r>
    </w:p>
    <w:p>
      <w:pPr>
        <w:numPr>
          <w:ilvl w:val="0"/>
          <w:numId w:val="31"/>
        </w:numPr>
      </w:pPr>
      <w:r>
        <w:rPr>
          <w:rFonts w:ascii="Arial" w:hAnsi="Arial" w:eastAsia="Microsoft YaHei"/>
          <w:b w:val="0"/>
          <w:i w:val="0"/>
          <w:color w:val="1A1A1A"/>
          <w:sz w:val="21"/>
        </w:rPr>
        <w:t>试点监控指标、回滚方案和责任人已确认。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tcMar>
              <w:top w:w="90" w:type="dxa"/>
              <w:bottom w:w="90" w:type="dxa"/>
              <w:start w:w="120" w:type="dxa"/>
              <w:end w:w="120" w:type="dxa"/>
            </w:tcMar>
            <w:shd w:fill="EAF7F0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i w:val="0"/>
                <w:color w:val="176B43"/>
                <w:sz w:val="21"/>
              </w:rPr>
              <w:t xml:space="preserve">建议决策 </w:t>
            </w:r>
            <w:r>
              <w:rPr>
                <w:rFonts w:ascii="Arial" w:hAnsi="Arial" w:eastAsia="Microsoft YaHei"/>
                <w:b w:val="0"/>
                <w:i w:val="0"/>
                <w:color w:val="176B43"/>
                <w:sz w:val="21"/>
              </w:rPr>
              <w:t>先完成全部P0并进入3-5家机构受控试点；P1按“比较与趋势 → 业务下钻 → 查询与整改运营”的顺序推进，不建议并行铺开。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67085"/>
        <w:sz w:val="17"/>
      </w:rPr>
      <w:t xml:space="preserve">P0/P1修复PRD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D9E2F3"/>
      </w:pBdr>
    </w:pPr>
    <w:r>
      <w:rPr>
        <w:rFonts w:ascii="Arial" w:hAnsi="Arial" w:eastAsia="Microsoft YaHei"/>
        <w:b/>
        <w:i w:val="0"/>
        <w:color w:val="667085"/>
        <w:sz w:val="17"/>
      </w:rPr>
      <w:t>产品需求文档  |  智能经营诊断 P0/P1 问题修复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lvl w:ilvl="0">
      <w:start w:val="1"/>
      <w:numFmt w:val="bullet"/>
      <w:lvlText w:val="•"/>
      <w:pPr>
        <w:tabs>
          <w:tab w:val="num" w:pos="720"/>
        </w:tabs>
        <w:ind w:left="720" w:hanging="360"/>
      </w:pPr>
    </w:lvl>
  </w:abstractNum>
  <w:num w:numId="31">
    <w:abstractNumId w:val="31"/>
  </w:num>
  <w:abstractNum w:abstractNumId="32"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智能经营诊断P0P1问题修复PRD</dc:title>
  <dc:subject>智能经营诊断受控试点与深度分析修复需求</dc:subject>
  <dc:creator>产品团队</dc:creator>
  <cp:keywords>PRD,P0,P1,经营诊断,财险,AI,整改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