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电动轮椅行业市场分析报告</w:t>
      </w:r>
    </w:p>
    <w:p>
      <w:pPr>
        <w:pStyle w:val="Subtitle"/>
      </w:pPr>
      <w:r>
        <w:t xml:space="preserve">Electric Wheelchair Industry Market Analysis 2025</w:t>
      </w:r>
    </w:p>
    <w:p>
      <w:pPr>
        <w:spacing w:before="480" w:after="240"/>
        <w:jc w:val="center"/>
      </w:pPr>
      <w:r>
        <w:rPr>
          <w:color w:val="666666"/>
          <w:sz w:val="22"/>
          <w:szCs w:val="22"/>
        </w:rPr>
        <w:t xml:space="preserve">报告日期: 2025年10月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t xml:space="preserve">执行摘要 Executive Summary</w:t>
      </w:r>
    </w:p>
    <w:p>
      <w:pPr>
        <w:spacing w:after="180"/>
      </w:pPr>
      <w:r>
        <w:t xml:space="preserve">全球电动轮椅市场正处于快速增长期。2025年市场规模预计达到39.1亿美元至87.3亿美元(根据不同统计口径),预计到2030年将达到61.9亿美元至191.2亿美元,年复合增长率(CAGR)在9.62%至11.9%之间。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关键发现:</w:t>
      </w:r>
    </w:p>
    <w:p>
      <w:pPr>
        <w:pStyle w:val="ListParagraph"/>
        <w:numPr>
          <w:ilvl w:val="0"/>
          <w:numId w:val="2"/>
        </w:numPr>
      </w:pPr>
      <w:r>
        <w:t xml:space="preserve">市场规模: 2024年全球市场值约为77.2亿美元,预计2033年将达到191.2亿美元</w:t>
      </w:r>
    </w:p>
    <w:p>
      <w:pPr>
        <w:pStyle w:val="ListParagraph"/>
        <w:numPr>
          <w:ilvl w:val="0"/>
          <w:numId w:val="2"/>
        </w:numPr>
      </w:pPr>
      <w:r>
        <w:t xml:space="preserve">增长速度: 年复合增长率维持在10%以上,显示出强劲的市场需求</w:t>
      </w:r>
    </w:p>
    <w:p>
      <w:pPr>
        <w:pStyle w:val="ListParagraph"/>
        <w:numPr>
          <w:ilvl w:val="0"/>
          <w:numId w:val="2"/>
        </w:numPr>
      </w:pPr>
      <w:r>
        <w:t xml:space="preserve">区域领先: 北美市场占据主导地位,2024年市场份额达39.4%-50%</w:t>
      </w:r>
    </w:p>
    <w:p>
      <w:pPr>
        <w:pStyle w:val="ListParagraph"/>
        <w:numPr>
          <w:ilvl w:val="0"/>
          <w:numId w:val="2"/>
        </w:numPr>
      </w:pPr>
      <w:r>
        <w:t xml:space="preserve">快速增长区域: 亚太地区增长最快,CAGR达11.93%</w:t>
      </w:r>
    </w:p>
    <w:p>
      <w:pPr>
        <w:pStyle w:val="ListParagraph"/>
        <w:numPr>
          <w:ilvl w:val="0"/>
          <w:numId w:val="2"/>
        </w:numPr>
      </w:pPr>
      <w:r>
        <w:t xml:space="preserve">技术趋势: 锂离子电池技术占据主导,智能轮椅和AI集成成为新趋势</w:t>
      </w:r>
    </w:p>
    <w:p>
      <w:r>
        <w:t xml:space="preserve"/>
      </w:r>
    </w:p>
    <w:p>
      <w:pPr>
        <w:pStyle w:val="Heading1"/>
      </w:pPr>
      <w:r>
        <w:t xml:space="preserve">市场规模与增长预测 Market Size &amp; Growth Forecast</w:t>
      </w:r>
    </w:p>
    <w:p>
      <w:pPr>
        <w:pStyle w:val="Heading2"/>
      </w:pPr>
      <w:r>
        <w:t xml:space="preserve">全球市场概览</w:t>
      </w:r>
    </w:p>
    <w:p>
      <w:pPr>
        <w:spacing w:after="240"/>
      </w:pPr>
      <w:r>
        <w:t xml:space="preserve">根据多家权威市场研究机构的综合数据,电动轮椅市场呈现出稳健的增长态势: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3120"/>
        <w:gridCol w:w="312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年份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市场规模 (亿美元)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CAGR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2024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43.5 - 87.3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2025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48.7 - 58.4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10.6% - 12.3%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2030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61.9 - 119.7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9.62% - 11.9%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2033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114 - 191.2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10.6%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区域市场分析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北美市场 North America:</w:t>
      </w:r>
    </w:p>
    <w:p>
      <w:pPr>
        <w:pStyle w:val="ListParagraph"/>
        <w:numPr>
          <w:ilvl w:val="0"/>
          <w:numId w:val="2"/>
        </w:numPr>
      </w:pPr>
      <w:r>
        <w:t xml:space="preserve">市场规模: 2025年达到15.5亿美元,预计2030年达到23.4亿美元</w:t>
      </w:r>
    </w:p>
    <w:p>
      <w:pPr>
        <w:pStyle w:val="ListParagraph"/>
        <w:numPr>
          <w:ilvl w:val="0"/>
          <w:numId w:val="2"/>
        </w:numPr>
      </w:pPr>
      <w:r>
        <w:t xml:space="preserve">增长率: CAGR为8.66%-8.79%</w:t>
      </w:r>
    </w:p>
    <w:p>
      <w:pPr>
        <w:pStyle w:val="ListParagraph"/>
        <w:numPr>
          <w:ilvl w:val="0"/>
          <w:numId w:val="2"/>
        </w:numPr>
      </w:pPr>
      <w:r>
        <w:t xml:space="preserve">市场份额: 美国占北美市场79.33%,拥有5780万老年人口</w:t>
      </w:r>
    </w:p>
    <w:p>
      <w:pPr>
        <w:pStyle w:val="ListParagraph"/>
        <w:numPr>
          <w:ilvl w:val="0"/>
          <w:numId w:val="2"/>
        </w:numPr>
      </w:pPr>
      <w:r>
        <w:t xml:space="preserve">政策支持: 2025年4月Medicare引入新的HCPCS代码,降低高端配件的自付费用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亚太市场 Asia-Pacific:</w:t>
      </w:r>
    </w:p>
    <w:p>
      <w:pPr>
        <w:pStyle w:val="ListParagraph"/>
        <w:numPr>
          <w:ilvl w:val="0"/>
          <w:numId w:val="2"/>
        </w:numPr>
      </w:pPr>
      <w:r>
        <w:t xml:space="preserve">增长最快: CAGR达11.93%,2025-2030期间增量达11亿美元</w:t>
      </w:r>
    </w:p>
    <w:p>
      <w:pPr>
        <w:pStyle w:val="ListParagraph"/>
        <w:numPr>
          <w:ilvl w:val="0"/>
          <w:numId w:val="2"/>
        </w:numPr>
      </w:pPr>
      <w:r>
        <w:t xml:space="preserve">中国扩张: 二线城市扩张计划带来双位数增长,分销商在目标人群150公里半径内设立维修站</w:t>
      </w:r>
    </w:p>
    <w:p>
      <w:pPr>
        <w:pStyle w:val="ListParagraph"/>
        <w:numPr>
          <w:ilvl w:val="0"/>
          <w:numId w:val="2"/>
        </w:numPr>
      </w:pPr>
      <w:r>
        <w:t xml:space="preserve">日本市场: 老龄化人口偏好集成家居自动化系统的智能轮椅,该细分市场年增长15%</w:t>
      </w:r>
    </w:p>
    <w:p>
      <w:pPr>
        <w:pStyle w:val="ListParagraph"/>
        <w:numPr>
          <w:ilvl w:val="0"/>
          <w:numId w:val="2"/>
        </w:numPr>
      </w:pPr>
      <w:r>
        <w:t xml:space="preserve">政府补贴: 澳大利亚和韩国政府资助券计划,补贴高达4000美元购买成本</w:t>
      </w:r>
    </w:p>
    <w:p>
      <w:r>
        <w:t xml:space="preserve"/>
      </w:r>
    </w:p>
    <w:p>
      <w:pPr>
        <w:pStyle w:val="Heading1"/>
      </w:pPr>
      <w:r>
        <w:t xml:space="preserve">竞争格局 Competitive Landscape</w:t>
      </w:r>
    </w:p>
    <w:p>
      <w:pPr>
        <w:pStyle w:val="Heading2"/>
      </w:pPr>
      <w:r>
        <w:t xml:space="preserve">主要厂商市场份额</w:t>
      </w:r>
    </w:p>
    <w:p>
      <w:pPr>
        <w:spacing w:after="240"/>
      </w:pPr>
      <w:r>
        <w:t xml:space="preserve">市场相对集中,前十大厂商占据约20.5%的市场份额(2022年数据):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4680"/>
      </w:tblGrid>
      <w:tr>
        <w:trPr>
          <w:tblHeader/>
        </w:trP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A7BA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公司名称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A7BA7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市场份额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Sunrise Medical Limited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4.5%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Invacare Corporation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4.1%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Permobil AB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3.5%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Drive Medical Ltd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2.7%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Ottobock SE &amp; Co. KGaA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2.4%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r>
              <w:t xml:space="preserve">Pride Mobility Products Corp</w:t>
            </w:r>
          </w:p>
        </w:tc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5F5F5" w:val="clear"/>
          </w:tcPr>
          <w:p>
            <w:pPr>
              <w:jc w:val="center"/>
            </w:pPr>
            <w:r>
              <w:t xml:space="preserve">1.9%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技术创新与产品发布</w:t>
      </w:r>
    </w:p>
    <w:p>
      <w:pPr>
        <w:spacing w:before="120" w:after="180"/>
      </w:pPr>
      <w:r>
        <w:rPr>
          <w:b/>
          <w:bCs/>
        </w:rPr>
        <w:t xml:space="preserve">2024-2025年重大技术突破:</w:t>
      </w:r>
    </w:p>
    <w:p>
      <w:pPr>
        <w:pStyle w:val="ListParagraph"/>
        <w:numPr>
          <w:ilvl w:val="0"/>
          <w:numId w:val="2"/>
        </w:numPr>
      </w:pPr>
      <w:r>
        <w:t xml:space="preserve">2025年3月: IIT Madras开发印度最可定制电动站立轮椅NeoStand,用户可按钮轻松从坐姿转换为站姿</w:t>
      </w:r>
    </w:p>
    <w:p>
      <w:pPr>
        <w:pStyle w:val="ListParagraph"/>
        <w:numPr>
          <w:ilvl w:val="0"/>
          <w:numId w:val="2"/>
        </w:numPr>
      </w:pPr>
      <w:r>
        <w:t xml:space="preserve">2024年1月: Invacare推出TDX SP2电动轮椅(配备LiNX技术)</w:t>
      </w:r>
    </w:p>
    <w:p>
      <w:pPr>
        <w:pStyle w:val="ListParagraph"/>
        <w:numPr>
          <w:ilvl w:val="0"/>
          <w:numId w:val="2"/>
        </w:numPr>
      </w:pPr>
      <w:r>
        <w:t xml:space="preserve">2024年1月: Permobil发布Apple Watch版MyPermobil应用,提供9种电动轮椅控制功能</w:t>
      </w:r>
    </w:p>
    <w:p>
      <w:pPr>
        <w:pStyle w:val="ListParagraph"/>
        <w:numPr>
          <w:ilvl w:val="0"/>
          <w:numId w:val="2"/>
        </w:numPr>
      </w:pPr>
      <w:r>
        <w:t xml:space="preserve">2024年: Journey Air Elite轻量化设计,仅重26磅,最高时速2.8英里/小时</w:t>
      </w:r>
    </w:p>
    <w:p>
      <w:pPr>
        <w:pStyle w:val="ListParagraph"/>
        <w:numPr>
          <w:ilvl w:val="0"/>
          <w:numId w:val="2"/>
        </w:numPr>
      </w:pPr>
      <w:r>
        <w:t xml:space="preserve">2024年: WHILL公司开始首次商业化部署自主移动服务</w:t>
      </w:r>
    </w:p>
    <w:p>
      <w:pPr>
        <w:pStyle w:val="ListParagraph"/>
        <w:numPr>
          <w:ilvl w:val="0"/>
          <w:numId w:val="2"/>
        </w:numPr>
      </w:pPr>
      <w:r>
        <w:t xml:space="preserve">2024年10月: Ottobock投资2440万美元于Onward Medical,开发脑机接口(BCI)疗法</w:t>
      </w:r>
    </w:p>
    <w:p>
      <w:r>
        <w:t xml:space="preserve"/>
      </w:r>
    </w:p>
    <w:p>
      <w:pPr>
        <w:pStyle w:val="Heading1"/>
      </w:pPr>
      <w:r>
        <w:t xml:space="preserve">市场驱动因素 Market Drivers</w:t>
      </w:r>
    </w:p>
    <w:p>
      <w:pPr>
        <w:pStyle w:val="Heading2"/>
      </w:pPr>
      <w:r>
        <w:t xml:space="preserve">人口老龄化</w:t>
      </w:r>
    </w:p>
    <w:p>
      <w:pPr>
        <w:spacing w:after="180"/>
      </w:pPr>
      <w:r>
        <w:t xml:space="preserve">全球人口老龄化是电动轮椅市场增长的首要驱动力:</w:t>
      </w:r>
    </w:p>
    <w:p>
      <w:pPr>
        <w:pStyle w:val="ListParagraph"/>
        <w:numPr>
          <w:ilvl w:val="0"/>
          <w:numId w:val="2"/>
        </w:numPr>
      </w:pPr>
      <w:r>
        <w:t xml:space="preserve">联合国预测全球人口将在2080年代中期达到103亿峰值,63个国家(包括中国和日本)已经历人口下降</w:t>
      </w:r>
    </w:p>
    <w:p>
      <w:pPr>
        <w:pStyle w:val="ListParagraph"/>
        <w:numPr>
          <w:ilvl w:val="0"/>
          <w:numId w:val="2"/>
        </w:numPr>
      </w:pPr>
      <w:r>
        <w:t xml:space="preserve">2000年全球65岁以上人口占7%,预计2050年将翻倍至16%</w:t>
      </w:r>
    </w:p>
    <w:p>
      <w:pPr>
        <w:pStyle w:val="ListParagraph"/>
        <w:numPr>
          <w:ilvl w:val="0"/>
          <w:numId w:val="2"/>
        </w:numPr>
      </w:pPr>
      <w:r>
        <w:t xml:space="preserve">加拿大65岁以上人口比例预计2030年将超过21.9%</w:t>
      </w:r>
    </w:p>
    <w:p>
      <w:pPr>
        <w:pStyle w:val="ListParagraph"/>
        <w:numPr>
          <w:ilvl w:val="0"/>
          <w:numId w:val="2"/>
        </w:numPr>
      </w:pPr>
      <w:r>
        <w:t xml:space="preserve">欧盟27国80岁以上人口比例预计从2019年的5.8%上升至2100年的14.6%</w:t>
      </w:r>
    </w:p>
    <w:p>
      <w:pPr>
        <w:spacing w:before="240"/>
      </w:pPr>
      <w:r>
        <w:t xml:space="preserve"/>
      </w:r>
    </w:p>
    <w:p>
      <w:pPr>
        <w:pStyle w:val="Heading2"/>
      </w:pPr>
      <w:r>
        <w:t xml:space="preserve">医疗需求增长</w:t>
      </w:r>
    </w:p>
    <w:p>
      <w:pPr>
        <w:pStyle w:val="ListParagraph"/>
        <w:numPr>
          <w:ilvl w:val="0"/>
          <w:numId w:val="2"/>
        </w:numPr>
      </w:pPr>
      <w:r>
        <w:t xml:space="preserve">英国目前有15,695人患有脊髓损伤,每年新增约2,500例</w:t>
      </w:r>
    </w:p>
    <w:p>
      <w:pPr>
        <w:pStyle w:val="ListParagraph"/>
        <w:numPr>
          <w:ilvl w:val="0"/>
          <w:numId w:val="2"/>
        </w:numPr>
      </w:pPr>
      <w:r>
        <w:t xml:space="preserve">美国退伍军人事务部2024财年为27,000名患有脊髓损伤的退伍军人提供专业护理</w:t>
      </w:r>
    </w:p>
    <w:p>
      <w:pPr>
        <w:pStyle w:val="ListParagraph"/>
        <w:numPr>
          <w:ilvl w:val="0"/>
          <w:numId w:val="2"/>
        </w:numPr>
      </w:pPr>
      <w:r>
        <w:t xml:space="preserve">印度2021年报告约467,171起车辆事故,导致约181,113人死亡,交通事故导致的行动不便患者增加</w:t>
      </w:r>
    </w:p>
    <w:p>
      <w:pPr>
        <w:pStyle w:val="ListParagraph"/>
        <w:numPr>
          <w:ilvl w:val="0"/>
          <w:numId w:val="2"/>
        </w:numPr>
      </w:pPr>
      <w:r>
        <w:t xml:space="preserve">英国约153,000人患有帕金森病,预计数字将继续上升</w:t>
      </w:r>
    </w:p>
    <w:p>
      <w:pPr>
        <w:spacing w:before="240"/>
      </w:pPr>
      <w:r>
        <w:t xml:space="preserve"/>
      </w:r>
    </w:p>
    <w:p>
      <w:pPr>
        <w:pStyle w:val="Heading2"/>
      </w:pPr>
      <w:r>
        <w:t xml:space="preserve">技术进步</w:t>
      </w:r>
    </w:p>
    <w:p>
      <w:pPr>
        <w:pStyle w:val="ListParagraph"/>
        <w:numPr>
          <w:ilvl w:val="0"/>
          <w:numId w:val="2"/>
        </w:numPr>
      </w:pPr>
      <w:r>
        <w:t xml:space="preserve">锂离子电池技术: 提供决定性的成本-性能优势,替换成本2000-4000美元</w:t>
      </w:r>
    </w:p>
    <w:p>
      <w:pPr>
        <w:pStyle w:val="ListParagraph"/>
        <w:numPr>
          <w:ilvl w:val="0"/>
          <w:numId w:val="2"/>
        </w:numPr>
      </w:pPr>
      <w:r>
        <w:t xml:space="preserve">AI集成: Bang Bang Robotics获得超过1000万美元投资,开发AI驱动的轮椅导航</w:t>
      </w:r>
    </w:p>
    <w:p>
      <w:pPr>
        <w:pStyle w:val="ListParagraph"/>
        <w:numPr>
          <w:ilvl w:val="0"/>
          <w:numId w:val="2"/>
        </w:numPr>
      </w:pPr>
      <w:r>
        <w:t xml:space="preserve">智能连接: IoT连接增强产品功能和用户体验</w:t>
      </w:r>
    </w:p>
    <w:p>
      <w:pPr>
        <w:pStyle w:val="ListParagraph"/>
        <w:numPr>
          <w:ilvl w:val="0"/>
          <w:numId w:val="2"/>
        </w:numPr>
      </w:pPr>
      <w:r>
        <w:t xml:space="preserve">专利创新: 2024年美国专利商标局授予200多项轮椅技术相关新专利</w:t>
      </w:r>
    </w:p>
    <w:p>
      <w:r>
        <w:t xml:space="preserve"/>
      </w:r>
    </w:p>
    <w:p>
      <w:pPr>
        <w:pStyle w:val="Heading1"/>
      </w:pPr>
      <w:r>
        <w:t xml:space="preserve">产品细分分析 Product Segmentation</w:t>
      </w:r>
    </w:p>
    <w:p>
      <w:pPr>
        <w:pStyle w:val="Heading2"/>
      </w:pPr>
      <w:r>
        <w:t xml:space="preserve">驱动类型</w:t>
      </w:r>
    </w:p>
    <w:p>
      <w:pPr>
        <w:spacing w:after="180"/>
      </w:pPr>
      <w:r>
        <w:t xml:space="preserve">按驱动轮位置分类的市场表现:</w:t>
      </w:r>
    </w:p>
    <w:p>
      <w:pPr>
        <w:spacing w:before="120" w:after="120"/>
      </w:pPr>
      <w:r>
        <w:rPr>
          <w:b/>
          <w:bCs/>
        </w:rPr>
        <w:t xml:space="preserve">后轮驱动 (Rear-Wheel Drive):</w:t>
      </w:r>
    </w:p>
    <w:p>
      <w:pPr>
        <w:pStyle w:val="ListParagraph"/>
        <w:numPr>
          <w:ilvl w:val="0"/>
          <w:numId w:val="2"/>
        </w:numPr>
      </w:pPr>
      <w:r>
        <w:t xml:space="preserve">市场主导: 2024年占据47.49%-47.60%市场份额</w:t>
      </w:r>
    </w:p>
    <w:p>
      <w:pPr>
        <w:pStyle w:val="ListParagraph"/>
        <w:numPr>
          <w:ilvl w:val="0"/>
          <w:numId w:val="2"/>
        </w:numPr>
      </w:pPr>
      <w:r>
        <w:t xml:space="preserve">增长最快: 预计CAGR达9.84%-10.21%至2030年</w:t>
      </w:r>
    </w:p>
    <w:p>
      <w:pPr>
        <w:pStyle w:val="ListParagraph"/>
        <w:numPr>
          <w:ilvl w:val="0"/>
          <w:numId w:val="2"/>
        </w:numPr>
      </w:pPr>
      <w:r>
        <w:t xml:space="preserve">成本优势: 在中低收入人群中采用率高</w:t>
      </w:r>
    </w:p>
    <w:p>
      <w:pPr>
        <w:spacing w:before="180"/>
      </w:pPr>
      <w:r>
        <w:t xml:space="preserve"/>
      </w:r>
    </w:p>
    <w:p>
      <w:pPr>
        <w:spacing w:before="120" w:after="120"/>
      </w:pPr>
      <w:r>
        <w:rPr>
          <w:b/>
          <w:bCs/>
        </w:rPr>
        <w:t xml:space="preserve">中轮驱动 (Center-Wheel Drive):</w:t>
      </w:r>
    </w:p>
    <w:p>
      <w:pPr>
        <w:pStyle w:val="ListParagraph"/>
        <w:numPr>
          <w:ilvl w:val="0"/>
          <w:numId w:val="2"/>
        </w:numPr>
      </w:pPr>
      <w:r>
        <w:t xml:space="preserve">预计CAGR: 10.87%</w:t>
      </w:r>
    </w:p>
    <w:p>
      <w:pPr>
        <w:pStyle w:val="ListParagraph"/>
        <w:numPr>
          <w:ilvl w:val="0"/>
          <w:numId w:val="2"/>
        </w:numPr>
      </w:pPr>
      <w:r>
        <w:t xml:space="preserve">优势: 可在原地360度转向,适合需要极佳机动性和狭小空间的用户</w:t>
      </w:r>
    </w:p>
    <w:p>
      <w:pPr>
        <w:spacing w:before="180"/>
      </w:pPr>
      <w:r>
        <w:t xml:space="preserve"/>
      </w:r>
    </w:p>
    <w:p>
      <w:pPr>
        <w:spacing w:before="120" w:after="120"/>
      </w:pPr>
      <w:r>
        <w:rPr>
          <w:b/>
          <w:bCs/>
        </w:rPr>
        <w:t xml:space="preserve">前轮驱动 (Front-Wheel Drive):</w:t>
      </w:r>
    </w:p>
    <w:p>
      <w:pPr>
        <w:pStyle w:val="ListParagraph"/>
        <w:numPr>
          <w:ilvl w:val="0"/>
          <w:numId w:val="2"/>
        </w:numPr>
      </w:pPr>
      <w:r>
        <w:t xml:space="preserve">增长动力: 技术研发活动增加,推出更先进的前轮驱动轮椅</w:t>
      </w:r>
    </w:p>
    <w:p>
      <w:r>
        <w:t xml:space="preserve"/>
      </w:r>
    </w:p>
    <w:p>
      <w:pPr>
        <w:pStyle w:val="Heading2"/>
      </w:pPr>
      <w:r>
        <w:t xml:space="preserve">终端用户</w:t>
      </w:r>
    </w:p>
    <w:p>
      <w:pPr>
        <w:pStyle w:val="ListParagraph"/>
        <w:numPr>
          <w:ilvl w:val="0"/>
          <w:numId w:val="2"/>
        </w:numPr>
      </w:pPr>
      <w:r>
        <w:t xml:space="preserve">医院: 2024年占据61.36%市场份额</w:t>
      </w:r>
    </w:p>
    <w:p>
      <w:pPr>
        <w:pStyle w:val="ListParagraph"/>
        <w:numPr>
          <w:ilvl w:val="0"/>
          <w:numId w:val="2"/>
        </w:numPr>
      </w:pPr>
      <w:r>
        <w:t xml:space="preserve">个人/家庭护理: 增长最快的细分市场,受益于老龄化和在家护理趋势</w:t>
      </w:r>
    </w:p>
    <w:p>
      <w:pPr>
        <w:pStyle w:val="ListParagraph"/>
        <w:numPr>
          <w:ilvl w:val="0"/>
          <w:numId w:val="2"/>
        </w:numPr>
      </w:pPr>
      <w:r>
        <w:t xml:space="preserve">康复中心: 稳定需求</w:t>
      </w:r>
    </w:p>
    <w:p>
      <w:r>
        <w:t xml:space="preserve"/>
      </w:r>
    </w:p>
    <w:p>
      <w:pPr>
        <w:pStyle w:val="Heading1"/>
      </w:pPr>
      <w:r>
        <w:t xml:space="preserve">销售渠道 Distribution Channels</w:t>
      </w:r>
    </w:p>
    <w:p>
      <w:pPr>
        <w:spacing w:before="120" w:after="180"/>
      </w:pPr>
      <w:r>
        <w:rPr>
          <w:b/>
          <w:bCs/>
        </w:rPr>
        <w:t xml:space="preserve">线上直销增长迅猛:</w:t>
      </w:r>
    </w:p>
    <w:p>
      <w:pPr>
        <w:pStyle w:val="ListParagraph"/>
        <w:numPr>
          <w:ilvl w:val="0"/>
          <w:numId w:val="2"/>
        </w:numPr>
      </w:pPr>
      <w:r>
        <w:t xml:space="preserve">增长率: CAGR达12.80%,超过所有其他销售渠道</w:t>
      </w:r>
    </w:p>
    <w:p>
      <w:pPr>
        <w:pStyle w:val="ListParagraph"/>
        <w:numPr>
          <w:ilvl w:val="0"/>
          <w:numId w:val="2"/>
        </w:numPr>
      </w:pPr>
      <w:r>
        <w:t xml:space="preserve">Google搜索趋势: 2025年9月"electric wheelchair"搜索达到峰值88</w:t>
      </w:r>
    </w:p>
    <w:p>
      <w:pPr>
        <w:pStyle w:val="ListParagraph"/>
        <w:numPr>
          <w:ilvl w:val="0"/>
          <w:numId w:val="2"/>
        </w:numPr>
      </w:pPr>
      <w:r>
        <w:t xml:space="preserve">消费者行为: 近50%潜在买家会等待保险确认后再购买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</w:rPr>
        <w:t xml:space="preserve">传统渠道仍然重要:</w:t>
      </w:r>
    </w:p>
    <w:p>
      <w:pPr>
        <w:pStyle w:val="ListParagraph"/>
        <w:numPr>
          <w:ilvl w:val="0"/>
          <w:numId w:val="2"/>
        </w:numPr>
      </w:pPr>
      <w:r>
        <w:t xml:space="preserve">本地药店: 2024年报告显示67%的耐用医疗设备消费者在药店购买</w:t>
      </w:r>
    </w:p>
    <w:p>
      <w:pPr>
        <w:pStyle w:val="ListParagraph"/>
        <w:numPr>
          <w:ilvl w:val="0"/>
          <w:numId w:val="2"/>
        </w:numPr>
      </w:pPr>
      <w:r>
        <w:t xml:space="preserve">专业展会: Permobil在2024年7个Abilities Expos上为578台轮椅提供服务</w:t>
      </w:r>
    </w:p>
    <w:p>
      <w:r>
        <w:t xml:space="preserve"/>
      </w:r>
    </w:p>
    <w:p>
      <w:pPr>
        <w:pStyle w:val="Heading1"/>
      </w:pPr>
      <w:r>
        <w:t xml:space="preserve">挑战与机遇 Challenges &amp; Opportunities</w:t>
      </w:r>
    </w:p>
    <w:p>
      <w:pPr>
        <w:pStyle w:val="Heading2"/>
      </w:pPr>
      <w:r>
        <w:t xml:space="preserve">市场挑战</w:t>
      </w:r>
    </w:p>
    <w:p>
      <w:pPr>
        <w:pStyle w:val="ListParagraph"/>
        <w:numPr>
          <w:ilvl w:val="0"/>
          <w:numId w:val="2"/>
        </w:numPr>
      </w:pPr>
      <w:r>
        <w:t xml:space="preserve">高成本: 高端电动轮椅价格高昂,限制了部分市场采用</w:t>
      </w:r>
    </w:p>
    <w:p>
      <w:pPr>
        <w:pStyle w:val="ListParagraph"/>
        <w:numPr>
          <w:ilvl w:val="0"/>
          <w:numId w:val="2"/>
        </w:numPr>
      </w:pPr>
      <w:r>
        <w:t xml:space="preserve">维修技师短缺: 2024年仍存在认证复杂康复技术维修技师持续短缺,尤其在北美农村地区</w:t>
      </w:r>
    </w:p>
    <w:p>
      <w:pPr>
        <w:pStyle w:val="ListParagraph"/>
        <w:numPr>
          <w:ilvl w:val="0"/>
          <w:numId w:val="2"/>
        </w:numPr>
      </w:pPr>
      <w:r>
        <w:t xml:space="preserve">贸易壁垒: 2025年美国新关税将影响关键进口部件(如电机组件和高级电池组)</w:t>
      </w:r>
    </w:p>
    <w:p>
      <w:pPr>
        <w:pStyle w:val="ListParagraph"/>
        <w:numPr>
          <w:ilvl w:val="0"/>
          <w:numId w:val="2"/>
        </w:numPr>
      </w:pPr>
      <w:r>
        <w:t xml:space="preserve">监管复杂性: 亚太地区碎片化的监管制度和不同的GST税率需要适应性定价和认证策略</w:t>
      </w:r>
    </w:p>
    <w:p>
      <w:pPr>
        <w:spacing w:before="240"/>
      </w:pPr>
      <w:r>
        <w:t xml:space="preserve"/>
      </w:r>
    </w:p>
    <w:p>
      <w:pPr>
        <w:pStyle w:val="Heading2"/>
      </w:pPr>
      <w:r>
        <w:t xml:space="preserve">市场机遇</w:t>
      </w:r>
    </w:p>
    <w:p>
      <w:pPr>
        <w:pStyle w:val="ListParagraph"/>
        <w:numPr>
          <w:ilvl w:val="0"/>
          <w:numId w:val="2"/>
        </w:numPr>
      </w:pPr>
      <w:r>
        <w:t xml:space="preserve">订阅模式创新: 结合租赁、维修、远程康复和定期升级的订阅套餐吸引城市千禧一代</w:t>
      </w:r>
    </w:p>
    <w:p>
      <w:pPr>
        <w:pStyle w:val="ListParagraph"/>
        <w:numPr>
          <w:ilvl w:val="0"/>
          <w:numId w:val="2"/>
        </w:numPr>
      </w:pPr>
      <w:r>
        <w:t xml:space="preserve">预测性维护: 仪表板减少停机时间,降低保修索赔</w:t>
      </w:r>
    </w:p>
    <w:p>
      <w:pPr>
        <w:pStyle w:val="ListParagraph"/>
        <w:numPr>
          <w:ilvl w:val="0"/>
          <w:numId w:val="2"/>
        </w:numPr>
      </w:pPr>
      <w:r>
        <w:t xml:space="preserve">在线培训: 经销商培训转向线上,降低入职成本,加快二线城市覆盖</w:t>
      </w:r>
    </w:p>
    <w:p>
      <w:pPr>
        <w:pStyle w:val="ListParagraph"/>
        <w:numPr>
          <w:ilvl w:val="0"/>
          <w:numId w:val="2"/>
        </w:numPr>
      </w:pPr>
      <w:r>
        <w:t xml:space="preserve">维修权运动: 2024年"维修权"运动获得重大进展,United Spinal Association积极倡导用户获得零件和手册</w:t>
      </w:r>
    </w:p>
    <w:p>
      <w:pPr>
        <w:pStyle w:val="ListParagraph"/>
        <w:numPr>
          <w:ilvl w:val="0"/>
          <w:numId w:val="2"/>
        </w:numPr>
      </w:pPr>
      <w:r>
        <w:t xml:space="preserve">体育市场: 爱尔兰足球协会通过Disability Sport NI为电动轮椅筹集超过88,493美元</w:t>
      </w:r>
    </w:p>
    <w:p>
      <w:r>
        <w:t xml:space="preserve"/>
      </w:r>
    </w:p>
    <w:p>
      <w:pPr>
        <w:pStyle w:val="Heading1"/>
      </w:pPr>
      <w:r>
        <w:t xml:space="preserve">结论与建议 Conclusions &amp; Recommendations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市场前景:</w:t>
      </w:r>
    </w:p>
    <w:p>
      <w:pPr>
        <w:spacing w:after="180"/>
      </w:pPr>
      <w:r>
        <w:t xml:space="preserve">电动轮椅市场正处于强劲增长轨道,预计未来十年将保持两位数增长。人口老龄化、技术创新和政策支持三重因素叠加,为市场参与者创造了巨大机遇。</w:t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对制造商的建议:</w:t>
      </w:r>
    </w:p>
    <w:p>
      <w:pPr>
        <w:pStyle w:val="ListParagraph"/>
        <w:numPr>
          <w:ilvl w:val="0"/>
          <w:numId w:val="2"/>
        </w:numPr>
      </w:pPr>
      <w:r>
        <w:t xml:space="preserve">技术投资: 加大AI、IoT和BCI技术研发投入,开发智能化产品</w:t>
      </w:r>
    </w:p>
    <w:p>
      <w:pPr>
        <w:pStyle w:val="ListParagraph"/>
        <w:numPr>
          <w:ilvl w:val="0"/>
          <w:numId w:val="2"/>
        </w:numPr>
      </w:pPr>
      <w:r>
        <w:t xml:space="preserve">区域策略: 北美巩固,亚太突破,重点关注中国二线城市和日本智能家居集成市场</w:t>
      </w:r>
    </w:p>
    <w:p>
      <w:pPr>
        <w:pStyle w:val="ListParagraph"/>
        <w:numPr>
          <w:ilvl w:val="0"/>
          <w:numId w:val="2"/>
        </w:numPr>
      </w:pPr>
      <w:r>
        <w:t xml:space="preserve">产品创新: 开发轻量化、可折叠、长续航的产品,满足年轻用户群体需求</w:t>
      </w:r>
    </w:p>
    <w:p>
      <w:pPr>
        <w:pStyle w:val="ListParagraph"/>
        <w:numPr>
          <w:ilvl w:val="0"/>
          <w:numId w:val="2"/>
        </w:numPr>
      </w:pPr>
      <w:r>
        <w:t xml:space="preserve">服务网络: 建立完善的售后服务网络,解决维修技师短缺问题</w:t>
      </w:r>
    </w:p>
    <w:p>
      <w:pPr>
        <w:pStyle w:val="ListParagraph"/>
        <w:numPr>
          <w:ilvl w:val="0"/>
          <w:numId w:val="2"/>
        </w:numPr>
      </w:pPr>
      <w:r>
        <w:t xml:space="preserve">商业模式: 探索订阅制和直销电商模式,提升用户体验和市场渗透</w:t>
      </w:r>
    </w:p>
    <w:p>
      <w:pPr>
        <w:spacing w:before="240"/>
      </w:pPr>
      <w:r>
        <w:t xml:space="preserve"/>
      </w:r>
    </w:p>
    <w:p>
      <w:pPr>
        <w:spacing w:before="120" w:after="180"/>
      </w:pPr>
      <w:r>
        <w:rPr>
          <w:b/>
          <w:bCs/>
          <w:sz w:val="26"/>
          <w:szCs w:val="26"/>
        </w:rPr>
        <w:t xml:space="preserve">对B2B营销的启示:</w:t>
      </w:r>
    </w:p>
    <w:p>
      <w:pPr>
        <w:pStyle w:val="ListParagraph"/>
        <w:numPr>
          <w:ilvl w:val="0"/>
          <w:numId w:val="2"/>
        </w:numPr>
      </w:pPr>
      <w:r>
        <w:t xml:space="preserve">数字化营销: 线上搜索和电商渠道快速增长,需加强SEO、内容营销和社交媒体策略</w:t>
      </w:r>
    </w:p>
    <w:p>
      <w:pPr>
        <w:pStyle w:val="ListParagraph"/>
        <w:numPr>
          <w:ilvl w:val="0"/>
          <w:numId w:val="2"/>
        </w:numPr>
      </w:pPr>
      <w:r>
        <w:t xml:space="preserve">专业展会: 保持在Abilities Expos等专业展会的参与,提供现场服务建立信任</w:t>
      </w:r>
    </w:p>
    <w:p>
      <w:pPr>
        <w:pStyle w:val="ListParagraph"/>
        <w:numPr>
          <w:ilvl w:val="0"/>
          <w:numId w:val="2"/>
        </w:numPr>
      </w:pPr>
      <w:r>
        <w:t xml:space="preserve">教育内容: 创建高质量内容教育潜在客户,建立思想领导地位</w:t>
      </w:r>
    </w:p>
    <w:p>
      <w:pPr>
        <w:pStyle w:val="ListParagraph"/>
        <w:numPr>
          <w:ilvl w:val="0"/>
          <w:numId w:val="2"/>
        </w:numPr>
      </w:pPr>
      <w:r>
        <w:t xml:space="preserve">LinkedIn营销: 针对医疗机构采购决策者开展精准营销</w:t>
      </w:r>
    </w:p>
    <w:p>
      <w:r>
        <w:t xml:space="preserve"/>
      </w:r>
    </w:p>
    <w:p>
      <w:r>
        <w:t xml:space="preserve"/>
      </w:r>
    </w:p>
    <w:p>
      <w:pPr>
        <w:spacing w:before="360" w:after="120"/>
      </w:pPr>
      <w:r>
        <w:rPr>
          <w:b/>
          <w:bCs/>
          <w:color w:val="666666"/>
          <w:sz w:val="22"/>
          <w:szCs w:val="22"/>
        </w:rPr>
        <w:t xml:space="preserve">数据来源 Data Sources</w:t>
      </w:r>
    </w:p>
    <w:p>
      <w:pPr>
        <w:spacing w:after="120"/>
      </w:pPr>
      <w:r>
        <w:rPr>
          <w:color w:val="666666"/>
          <w:sz w:val="20"/>
          <w:szCs w:val="20"/>
        </w:rPr>
        <w:t xml:space="preserve">本报告数据来源于以下权威市场研究机构:</w:t>
      </w:r>
    </w:p>
    <w:p>
      <w:pPr>
        <w:spacing w:after="80"/>
      </w:pPr>
      <w:r>
        <w:rPr>
          <w:color w:val="666666"/>
          <w:sz w:val="20"/>
          <w:szCs w:val="20"/>
        </w:rPr>
        <w:t xml:space="preserve">• Mordor Intelligence, Fortune Business Insights, Straits Research</w:t>
      </w:r>
    </w:p>
    <w:p>
      <w:pPr>
        <w:spacing w:after="80"/>
      </w:pPr>
      <w:r>
        <w:rPr>
          <w:color w:val="666666"/>
          <w:sz w:val="20"/>
          <w:szCs w:val="20"/>
        </w:rPr>
        <w:t xml:space="preserve">• Research and Markets, Astute Analytica, Spherical Insights</w:t>
      </w:r>
    </w:p>
    <w:p>
      <w:pPr>
        <w:spacing w:after="80"/>
      </w:pPr>
      <w:r>
        <w:rPr>
          <w:color w:val="666666"/>
          <w:sz w:val="20"/>
          <w:szCs w:val="20"/>
        </w:rPr>
        <w:t xml:space="preserve">• The Business Research Company, Coherent Market Insights</w:t>
      </w:r>
    </w:p>
    <w:p>
      <w:pPr>
        <w:spacing w:before="240" w:after="80"/>
      </w:pPr>
      <w:r>
        <w:rPr>
          <w:i/>
          <w:iCs/>
          <w:color w:val="666666"/>
          <w:sz w:val="20"/>
          <w:szCs w:val="20"/>
        </w:rPr>
        <w:t xml:space="preserve">报告编制: AI Marketing Intelligence Platform</w:t>
      </w:r>
    </w:p>
    <w:p>
      <w:pPr>
        <w:spacing w:after="80"/>
      </w:pPr>
      <w:r>
        <w:rPr>
          <w:i/>
          <w:iCs/>
          <w:color w:val="666666"/>
          <w:sz w:val="20"/>
          <w:szCs w:val="20"/>
        </w:rPr>
        <w:t xml:space="preserve">报告日期: 2025年10月24日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00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240"/>
      <w:outlineLvl w:val="0"/>
    </w:pPr>
    <w:rPr>
      <w:rFonts w:ascii="Arial" w:cs="Arial" w:eastAsia="Arial" w:hAnsi="Arial"/>
      <w:b/>
      <w:bCs/>
      <w:color w:val="2E5C8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80"/>
      <w:outlineLvl w:val="1"/>
    </w:pPr>
    <w:rPr>
      <w:rFonts w:ascii="Arial" w:cs="Arial" w:eastAsia="Arial" w:hAnsi="Arial"/>
      <w:b/>
      <w:bCs/>
      <w:color w:val="4A7BA7"/>
      <w:sz w:val="28"/>
      <w:szCs w:val="28"/>
    </w:rPr>
  </w:style>
  <w:style w:type="paragraph" w:styleId="Subtitle">
    <w:name w:val="Subtitle"/>
    <w:basedOn w:val="Normal"/>
    <w:pPr>
      <w:spacing w:before="120" w:after="360"/>
      <w:jc w:val="center"/>
    </w:pPr>
    <w:rPr>
      <w:rFonts w:ascii="Arial" w:cs="Arial" w:eastAsia="Arial" w:hAnsi="Arial"/>
      <w:i/>
      <w:iCs/>
      <w:color w:val="666666"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2025-10-24T06:51:33.766Z</dcterms:created>
  <dcterms:modified xsi:type="dcterms:W3CDTF">2025-10-24T06:51:33.767Z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