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CTS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中央收费软件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9746"/>
        </w:tabs>
        <w:ind w:left="0" w:leftChars="0" w:firstLine="320" w:firstLineChars="100"/>
        <w:jc w:val="center"/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9746"/>
        </w:tabs>
        <w:ind w:left="0" w:leftChars="0" w:firstLine="520" w:firstLineChars="100"/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_Toc9906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一、收费主界面</w:t>
      </w:r>
      <w:r>
        <w:tab/>
      </w:r>
      <w:r>
        <w:fldChar w:fldCharType="begin"/>
      </w:r>
      <w:r>
        <w:instrText xml:space="preserve"> PAGEREF _Toc9906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_Toc23811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1.1当班统计</w:t>
      </w:r>
      <w:r>
        <w:tab/>
      </w:r>
      <w:r>
        <w:fldChar w:fldCharType="begin"/>
      </w:r>
      <w:r>
        <w:instrText xml:space="preserve"> PAGEREF _Toc23811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_Toc13090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1.2车辆列表</w:t>
      </w:r>
      <w:r>
        <w:tab/>
      </w:r>
      <w:r>
        <w:fldChar w:fldCharType="begin"/>
      </w:r>
      <w:r>
        <w:instrText xml:space="preserve"> PAGEREF _Toc13090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_Toc30210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1.3收费操作面板</w:t>
      </w:r>
      <w:r>
        <w:tab/>
      </w:r>
      <w:r>
        <w:fldChar w:fldCharType="begin"/>
      </w:r>
      <w:r>
        <w:instrText xml:space="preserve"> PAGEREF _Toc30210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_Toc3164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二、用户中心</w:t>
      </w:r>
      <w:r>
        <w:tab/>
      </w:r>
      <w:r>
        <w:fldChar w:fldCharType="begin"/>
      </w:r>
      <w:r>
        <w:instrText xml:space="preserve"> PAGEREF _Toc3164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_Toc24649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2.1启用/停用通道</w:t>
      </w:r>
      <w:r>
        <w:tab/>
      </w:r>
      <w:r>
        <w:fldChar w:fldCharType="begin"/>
      </w:r>
      <w:r>
        <w:instrText xml:space="preserve"> PAGEREF _Toc24649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_Toc17344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2.2修改密码</w:t>
      </w:r>
      <w:r>
        <w:tab/>
      </w:r>
      <w:r>
        <w:fldChar w:fldCharType="begin"/>
      </w:r>
      <w:r>
        <w:instrText xml:space="preserve"> PAGEREF _Toc17344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_Toc20242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2.3交接班</w:t>
      </w:r>
      <w:r>
        <w:tab/>
      </w:r>
      <w:r>
        <w:fldChar w:fldCharType="begin"/>
      </w:r>
      <w:r>
        <w:instrText xml:space="preserve"> PAGEREF _Toc20242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_Toc20908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2.4下班</w:t>
      </w:r>
      <w:r>
        <w:tab/>
      </w:r>
      <w:r>
        <w:fldChar w:fldCharType="begin"/>
      </w:r>
      <w:r>
        <w:instrText xml:space="preserve"> PAGEREF _Toc20908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_Toc19232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三、信息列表</w:t>
      </w:r>
      <w:r>
        <w:tab/>
      </w:r>
      <w:r>
        <w:fldChar w:fldCharType="begin"/>
      </w:r>
      <w:r>
        <w:instrText xml:space="preserve"> PAGEREF _Toc19232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_Toc20012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3.1 VIP车辆</w:t>
      </w:r>
      <w:r>
        <w:tab/>
      </w:r>
      <w:r>
        <w:fldChar w:fldCharType="begin"/>
      </w:r>
      <w:r>
        <w:instrText xml:space="preserve"> PAGEREF _Toc20012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_Toc23875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3.2欠费车辆</w:t>
      </w:r>
      <w:r>
        <w:tab/>
      </w:r>
      <w:r>
        <w:fldChar w:fldCharType="begin"/>
      </w:r>
      <w:r>
        <w:instrText xml:space="preserve"> PAGEREF _Toc23875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_Toc29691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四、凭条打印设置</w:t>
      </w:r>
      <w:r>
        <w:tab/>
      </w:r>
      <w:r>
        <w:fldChar w:fldCharType="begin"/>
      </w:r>
      <w:r>
        <w:instrText xml:space="preserve"> PAGEREF _Toc29691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_Toc32200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4.1缴费凭条打印</w:t>
      </w:r>
      <w:r>
        <w:tab/>
      </w:r>
      <w:r>
        <w:fldChar w:fldCharType="begin"/>
      </w:r>
      <w:r>
        <w:instrText xml:space="preserve"> PAGEREF _Toc32200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_Toc26797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4.2补缴凭条打印</w:t>
      </w:r>
      <w:r>
        <w:tab/>
      </w:r>
      <w:r>
        <w:fldChar w:fldCharType="begin"/>
      </w:r>
      <w:r>
        <w:instrText xml:space="preserve"> PAGEREF _Toc26797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_Toc30861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五、更换主题</w:t>
      </w:r>
      <w:r>
        <w:tab/>
      </w:r>
      <w:r>
        <w:fldChar w:fldCharType="begin"/>
      </w:r>
      <w:r>
        <w:instrText xml:space="preserve"> PAGEREF _Toc30861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_Toc23286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六、中央辅屏</w:t>
      </w:r>
      <w:r>
        <w:tab/>
      </w:r>
      <w:r>
        <w:fldChar w:fldCharType="begin"/>
      </w:r>
      <w:r>
        <w:instrText xml:space="preserve"> PAGEREF _Toc23286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_Toc12944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6.1软键盘辅屏</w:t>
      </w:r>
      <w:r>
        <w:tab/>
      </w:r>
      <w:r>
        <w:fldChar w:fldCharType="begin"/>
      </w:r>
      <w:r>
        <w:instrText xml:space="preserve"> PAGEREF _Toc12944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_Toc20592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6.2纯辅屏</w:t>
      </w:r>
      <w:r>
        <w:tab/>
      </w:r>
      <w:r>
        <w:fldChar w:fldCharType="begin"/>
      </w:r>
      <w:r>
        <w:instrText xml:space="preserve"> PAGEREF _Toc20592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  <w:bookmarkStart w:id="19" w:name="_GoBack"/>
      <w:bookmarkEnd w:id="19"/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CTS</w: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eastAsia="zh-CN"/>
        </w:rPr>
        <w:t>中央收费软件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9"/>
        <w:tblpPr w:leftFromText="180" w:rightFromText="180" w:vertAnchor="text" w:horzAnchor="page" w:tblpXSpec="center" w:tblpY="416"/>
        <w:tblOverlap w:val="never"/>
        <w:tblW w:w="10120" w:type="dxa"/>
        <w:jc w:val="center"/>
        <w:tblInd w:w="-24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1"/>
        <w:gridCol w:w="1280"/>
        <w:gridCol w:w="1440"/>
        <w:gridCol w:w="846"/>
        <w:gridCol w:w="1803"/>
        <w:gridCol w:w="34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3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2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拟制人/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修改人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修改日期</w:t>
            </w:r>
          </w:p>
        </w:tc>
        <w:tc>
          <w:tcPr>
            <w:tcW w:w="84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0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tabs>
                <w:tab w:val="left" w:pos="582"/>
              </w:tabs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更改理由</w:t>
            </w:r>
          </w:p>
        </w:tc>
        <w:tc>
          <w:tcPr>
            <w:tcW w:w="34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主要更改内容（写要点即可）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杨丰泽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2017-7-20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2017-08-24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修改为中性版 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更改所有含“艾科”“AKE”的内容及图片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2017-11-16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V2.12的迭代功能点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在中央收费系统首页-当班统计中增加次数统计，增加辅屏页面说明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2017-11-30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V2.13的迭代功能点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更新微信/支付宝被扫、对接ETC的功能模块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2018-01-29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V2.14的迭代功能点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新增电子发票模块；</w:t>
            </w:r>
          </w:p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2.新增打印凭条设置页面。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  <w:jc w:val="center"/>
        </w:trPr>
        <w:tc>
          <w:tcPr>
            <w:tcW w:w="101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bCs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bCs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ind w:left="0" w:leftChars="0" w:firstLine="420" w:firstLineChars="0"/>
      </w:pPr>
    </w:p>
    <w:p>
      <w:pPr>
        <w:ind w:left="0" w:leftChars="0" w:firstLine="420" w:firstLineChars="0"/>
      </w:pPr>
    </w:p>
    <w:p>
      <w:pPr>
        <w:ind w:left="0" w:leftChars="0" w:firstLine="420" w:firstLineChars="0"/>
      </w:pPr>
    </w:p>
    <w:p/>
    <w:p/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TS中央收费软件是服务于VEMS的线下中央收费软件，CTS与VEMS使用的是同个数据库，与VEMS的数据可简单理解为是实时同步的。CTS为同一VEMS上的多个停车场提供了查费、收费功能，还提供了同个运营商下所有欠费车辆的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以下将CTS分为收费主界面、用户中心、信息列表、凭条打印设置、更换主题和中央辅屏等六个模块来介绍其主要功能。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CTS不兼容浏览器提示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：当中央收费软件在不兼容的浏览器下运行时，可能会出现页面打开失败、功能缺失等异常情况，因此建议用户更换以下兼容的浏览器使用。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Windows环境： IE10以上 和 Chrome50及以上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Linux环境： Chromium31.0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Ipad环境： Chrome50及以上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67120" cy="2900045"/>
            <wp:effectExtent l="0" t="0" r="5080" b="8255"/>
            <wp:docPr id="80" name="图片 1" descr="E:\工作夹\AKE\2017\-产品\系统截图\CTS\不兼容浏览器的提示.png不兼容浏览器的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E:\工作夹\AKE\2017\-产品\系统截图\CTS\不兼容浏览器的提示.png不兼容浏览器的提示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0" w:name="_Toc990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一、收费主界面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如下图所示该功能界面包含三大板块，分别为当班统计、车辆列表、收费操作面板。该界面是CTS系统的主操作界面，与车辆收费、在场补录、校正等相关操作都在此面板中集成。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8610"/>
            <wp:effectExtent l="0" t="0" r="3175" b="8890"/>
            <wp:docPr id="33" name="图片 33" descr="E:\工作夹\AKE\2017\-产品\系统截图\CTS\中央收费.png中央收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:\工作夹\AKE\2017\-产品\系统截图\CTS\中央收费.png中央收费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23811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1.1当班统计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如下图所示，当班统计板块展示当前登录的收费员信息，以及在当班时间内该收费员的具体收费款项情况的系统实时统计。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509645" cy="1341120"/>
            <wp:effectExtent l="0" t="0" r="825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右上角在卡票机入口缺少卡/票时，会显示红色区域并以文字滚动提示。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676650" cy="1405255"/>
            <wp:effectExtent l="0" t="0" r="635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点击收费明细按钮跳转到收费明细列表页面，如下图所示，列表展示所有收费流水的详细信息，并提供自定义条件查询功能。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270" cy="2576195"/>
            <wp:effectExtent l="0" t="0" r="11430" b="1905"/>
            <wp:docPr id="34" name="图片 34" descr="收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收费明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" w:name="_Toc1309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1.2车辆列表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如下图所示，车辆列表模块中记录的是所有在场车辆的信息，切换tab栏可查看未识别车辆、无牌车、遮挡车、排队车辆和自助开闸车辆，收费员可直接选中列表中的车辆，右侧收费操作面板将计算显示收费金额。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40810" cy="2601595"/>
            <wp:effectExtent l="0" t="0" r="8890" b="1905"/>
            <wp:docPr id="35" name="图片 35" descr="车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车辆列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车主自助开闸的情况下，车主扫码出场未能匹配进场信息时，收费员可根据车主提供的随机码搜索车辆列表。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69690" cy="28416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当车车主交费，收费员没有查询到对应的在场车辆信息时，可点击补录按钮，弹窗如下图所示，进行车辆进场信息的补录。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2178050"/>
            <wp:effectExtent l="0" t="0" r="6350" b="6350"/>
            <wp:docPr id="36" name="图片 36" descr="补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补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3" w:name="_Toc3021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1.3收费操作面板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如下图所示，该板块主要集成收费车辆的相关信息，计费金额信息，以及查询、校正、优惠配置等操作。该板块是收费员的主要操作区域。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635" cy="3312795"/>
            <wp:effectExtent l="0" t="0" r="12065" b="1905"/>
            <wp:docPr id="37" name="图片 37" descr="E:\工作夹\AKE\2017\-产品\系统截图\CTS\收费操作面板.png收费操作面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CTS\收费操作面板.png收费操作面板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在车辆列表中选中的在场车辆暂未产生费用时，收费操作面板中显示的是预收费按钮，如下图：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77740" cy="829945"/>
            <wp:effectExtent l="9525" t="9525" r="1333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29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在车辆列表中选中的在场车辆已产生应收费用时，收费操作面板中显示的是收费按钮，如下图：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99965" cy="899160"/>
            <wp:effectExtent l="9525" t="9525" r="16510" b="184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9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在车辆列表中选中的在场车辆已产生应收费用并已交足费用时，收费操作面板中显示的是收费按钮，且按钮置灰不可再次收费。如下图：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820920" cy="864870"/>
            <wp:effectExtent l="9525" t="9525" r="2095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当支持扫描用户微信或支付宝付款二维码收费时，收费方式将显示现金、微信和支付宝三种方式，收费员可根据实际情况进行选择。如下图：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28640" cy="480695"/>
            <wp:effectExtent l="0" t="0" r="1016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选择微信或支付宝收费时，收费操作面板显示“收费”和“已缴费待确认”两个按钮。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扫码枪扫描用户付款二维码发起支付请求，扣费成功时将显示扣费成功，扣费失败将显示扣费失败，如果用户端显示已成功扣费，则收费员可以点击已缴费待确认，默认用户缴费成功，并在VEMS系统出场记录和收费流水中对此条记录进行标记。如果无法扣费成功，用户采用现金支付，则收费员点击收费按钮默认为现金支付成功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73725" cy="494030"/>
            <wp:effectExtent l="0" t="0" r="3175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收费成功后可点击打印凭条按钮打印当前收费凭条，如下图：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2958465" cy="504825"/>
            <wp:effectExtent l="9525" t="9525" r="1651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收费员可在搜索区域查询对应在场车辆信息，勾选软件盘，则系统提供点选软件盘输入方式。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025" cy="401320"/>
            <wp:effectExtent l="9525" t="9525" r="1905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40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点击校正按钮弹窗如下图所示，可对当前选中车辆信息的车牌进行人工手动校正，勾选软件盘，则系统提供点选软件盘输入方式。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447925" cy="2233295"/>
            <wp:effectExtent l="9525" t="9525" r="1905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4" w:name="_Toc3164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二、用户中心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点击系统窗口右上角的用户图标弹出菜单浮窗，如下图所示，子选项包含启用/停用通道、修改密码、交接班、下班。可对上述各项进行详细配置。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0" name="图片 40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个人中心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24649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2.1启用/停用通道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如下图所示，点击该功能按钮弹窗如下图所示，显示当前登录收费员拥有收费权限的所有通道口，可自由启用/停用各通道。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停用通道后，该通道不会再次显示在列表中，若要恢复显示需在VEMS后台中重新启用该通道。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753360" cy="1539240"/>
            <wp:effectExtent l="0" t="0" r="254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1734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2.2修改密码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如下图所示，点击该功能按钮弹窗如下图所示，可修改当前登录账户的原有密码。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886200" cy="1935480"/>
            <wp:effectExtent l="9525" t="9525" r="952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7" w:name="_Toc2024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2.3交接班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如下图所示，点击该功能按钮弹窗如下图所示，可指定交班人账户，且输入登录密码后可完成交班操作。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277870" cy="2089785"/>
            <wp:effectExtent l="9525" t="9525" r="2730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8" w:name="_Toc2090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2.4下班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如下图所示，点击该功能按钮弹窗如下图所示，可输入当前登录收费员账户密码，执行确认操作后完成下班流程。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381375" cy="1888490"/>
            <wp:effectExtent l="9525" t="9525" r="19050" b="260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9" w:name="_Toc19232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三、信息列表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点击系统窗口右上角的集合菜单图标弹出菜单浮窗，如下图所示，子选项包含VIP车辆、欠费车辆。上述各项信息列表提供查询关键词查询功能。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590675"/>
            <wp:effectExtent l="9525" t="9525" r="19050" b="19050"/>
            <wp:docPr id="26" name="图片 26" descr="集合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集合菜单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</w:pPr>
      <w:bookmarkStart w:id="10" w:name="_Toc2001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3.1 VIP车辆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如下图所示，在集合菜单点击VIP车辆，跳转到如下图所示列表，可查询管理后台记录的所有VIP车辆信息。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VIP车辆列表包含车牌号、车主姓名、总车位、剩余车位、VIP别称、结算类型、剩余值、VIP状态、有效期开始时间、有效期结束时间、公私车、公司名称、部门名称、地址、备注一二三等字段。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1" name="图片 41" descr="VIP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IP车辆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2387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3.2欠费车辆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如下图所示，在集合菜单点击欠费车辆，跳转到如下图所示列表，可查询管理后台记录的所有欠费车辆信息，同时提供欠费补交操作。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欠费车辆列表包含车牌号、卡号、停车费用、已优惠金额、已缴金额、当前优惠、当前欠费、补缴金额、是否已补缴、是否取消欠费、收费员、补缴时间、停车时长、停车场名称、进场时间、进场车牌图片、出场时间和出场车牌图片等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2" name="图片 42" descr="欠费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欠费车辆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勾选需要补缴的记录，点击“欠费补交”按钮，弹出补缴确认弹窗。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1822450"/>
            <wp:effectExtent l="0" t="0" r="0" b="6350"/>
            <wp:docPr id="43" name="图片 43" descr="欠费补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欠费补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确认欠费补缴成功后，将弹出补缴成功的提示，并提供了打印补缴凭条的入口。用户可以选择打印补缴凭条 ，也可以点击取消放弃打印补缴凭条。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需要注意的是：补缴成功的弹窗是欠费补缴打印凭条的唯一入口，仅可针对补缴操作进行打印凭条的操作；补缴成功后将不再提供针对补缴记录的打印凭条功能。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6250" cy="971550"/>
            <wp:effectExtent l="0" t="0" r="6350" b="6350"/>
            <wp:docPr id="8" name="图片 8" descr="欠费补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欠费补缴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2" w:name="_Toc2969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四、凭条打印设置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点击系统窗口右上角的设置图标，弹出缴费凭条打印和补缴凭条打印的设置页面。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48200" cy="109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13" w:name="_Toc3220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4.1缴费凭条打印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缴费凭条打印分为打印方式设置、电子发票二维码状态开关设置及打印格式设置。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025" cy="4832985"/>
            <wp:effectExtent l="0" t="0" r="3175" b="5715"/>
            <wp:docPr id="10" name="图片 10" descr="缴费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缴费凭条打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打印方式设置：自动打印，即收费成功后系统自动打印缴费凭条；手动打印，即收费成功后，收费员点击“打印凭条”按钮打印缴费凭条；关闭，即关闭打印缴费凭条的入口，不支持缴费凭条的打印。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电子发票二维码状态：开启时，打印缴费凭条时将打印电子发票的二维码，车主扫描二维码即可进入一点停开具电子发票页面，进行开具发票的操作。关闭时，仅打印缴费凭条，不打印电子发票二维码。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打印格式设置：点击”编辑“，可编辑凭条打印的字段、收费说明以及电子发票二维码说明。点击”预览“，可预览凭条打印出来的效果。点击”打印测试“按钮，可直接打印当前设置的凭条样式。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66720" cy="2774315"/>
            <wp:effectExtent l="0" t="0" r="508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26797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4.2补缴凭条打印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补缴凭条打印与缴费凭条打印基本一致，也分为打印方式设置、电子发票二维码状态开关设置及打印格式设置。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设置内容和设置方式也与缴费凭条打印一致，可参照4.1缴费凭条打印的说明进行设置。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61055" cy="4601845"/>
            <wp:effectExtent l="0" t="0" r="4445" b="8255"/>
            <wp:docPr id="18" name="图片 18" descr="补缴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补缴凭条打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5" w:name="_Toc3086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五、更换主题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点击系统窗口右上角的主题图标，弹出支持的主题样式，可更换系统的主题样式。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733800" cy="15430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6" w:name="_Toc2328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六、中央辅屏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中央辅屏系统是配合中央收费系统使用的面向车主用户的系统，与中央收费系统相连通，面向用户展示停车收费及优惠详情。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当前中央辅屏有两个模式——软键盘辅屏和纯辅屏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86530" cy="2409825"/>
            <wp:effectExtent l="0" t="0" r="1270" b="3175"/>
            <wp:docPr id="6" name="图片 6" descr="辅屏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辅屏登录界面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17" w:name="_Toc1294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6.1软键盘辅屏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车主用户可在软键盘辅屏界面查询自己的车辆停车信息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378450" cy="2489200"/>
            <wp:effectExtent l="0" t="0" r="6350" b="0"/>
            <wp:docPr id="22" name="图片 22" descr="软键盘辅屏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软键盘辅屏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车主用户在辅屏界面输入车牌号码查询停车信息，确认停车费用后，中央收费系统将在排队车辆中对该车辆进行收费操作。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89550" cy="2419985"/>
            <wp:effectExtent l="0" t="0" r="6350" b="5715"/>
            <wp:docPr id="2" name="图片 2" descr="查询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询页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5900" cy="2443480"/>
            <wp:effectExtent l="0" t="0" r="0" b="7620"/>
            <wp:docPr id="25" name="图片 25" descr="中央收费排队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央收费排队车辆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收费成功后，辅屏界面将返回支付成功信息。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628005" cy="2590800"/>
            <wp:effectExtent l="0" t="0" r="10795" b="0"/>
            <wp:docPr id="29" name="图片 29" descr="辅屏显示收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辅屏显示收费成功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2059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6.2纯辅屏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纯辅屏相对于软键盘辅屏，只对车主用户提供一个展示功能，首页是一张停车场配置的大图，可显示该停车场最近的活动信息。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41825" cy="2049145"/>
            <wp:effectExtent l="0" t="0" r="3175" b="8255"/>
            <wp:docPr id="30" name="图片 30" descr="纯辅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纯辅屏主界面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中央收费系统查询用户费用后，将在纯辅屏界面对用户展示费用详情，用户可直接扫描车场二维码进行支付。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22495" cy="2173605"/>
            <wp:effectExtent l="0" t="0" r="1905" b="10795"/>
            <wp:docPr id="31" name="图片 31" descr="纯辅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纯辅屏界面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用户支付成功后，纯辅屏界面返回收费成功页面。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8695" cy="2201545"/>
            <wp:effectExtent l="0" t="0" r="1905" b="8255"/>
            <wp:docPr id="32" name="图片 32" descr="纯辅屏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纯辅屏支付成功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86"/>
    <w:family w:val="swiss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mplified Arabic">
    <w:altName w:val="Times New Roman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altName w:val="Yu Gothic UI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Mincho">
    <w:altName w:val="Yu Gothic UI"/>
    <w:panose1 w:val="02020600040205080304"/>
    <w:charset w:val="80"/>
    <w:family w:val="auto"/>
    <w:pitch w:val="default"/>
    <w:sig w:usb0="00000000" w:usb1="00000000" w:usb2="00000012" w:usb3="00000000" w:csb0="4002009F" w:csb1="DFD7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altName w:val="Yu Gothic UI Semibold"/>
    <w:panose1 w:val="02010803020104030203"/>
    <w:charset w:val="00"/>
    <w:family w:val="auto"/>
    <w:pitch w:val="default"/>
    <w:sig w:usb0="00000000" w:usb1="00000000" w:usb2="00000000" w:usb3="00000000" w:csb0="00000020" w:csb1="00200000"/>
  </w:font>
  <w:font w:name="Angsan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rabic Typesetting">
    <w:altName w:val="Comic Sans MS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Axure Handwriting">
    <w:panose1 w:val="020B0402020200020204"/>
    <w:charset w:val="00"/>
    <w:family w:val="auto"/>
    <w:pitch w:val="default"/>
    <w:sig w:usb0="800000AF" w:usb1="4000204A" w:usb2="00000000" w:usb3="00000000" w:csb0="00000001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Euphemia">
    <w:altName w:val="Yu Gothic UI"/>
    <w:panose1 w:val="020B0503040102020104"/>
    <w:charset w:val="00"/>
    <w:family w:val="auto"/>
    <w:pitch w:val="default"/>
    <w:sig w:usb0="00000000" w:usb1="00000000" w:usb2="00002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Jasmine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Khmer UI">
    <w:altName w:val="Segoe UI Symbol"/>
    <w:panose1 w:val="020B0502040204020203"/>
    <w:charset w:val="00"/>
    <w:family w:val="auto"/>
    <w:pitch w:val="default"/>
    <w:sig w:usb0="00000000" w:usb1="00000000" w:usb2="0001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Uighur">
    <w:altName w:val="Trebuchet MS"/>
    <w:panose1 w:val="02000000000000000000"/>
    <w:charset w:val="00"/>
    <w:family w:val="auto"/>
    <w:pitch w:val="default"/>
    <w:sig w:usb0="00000000" w:usb1="00000000" w:usb2="00000008" w:usb3="00000000" w:csb0="0000004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Vijay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冬青黑体简体中文 W3">
    <w:altName w:val="黑体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µÈÏß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50"/>
    <w:family w:val="auto"/>
    <w:pitch w:val="default"/>
    <w:sig w:usb0="80000287" w:usb1="2ACF3C50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Liberation Serif">
    <w:altName w:val="宋体"/>
    <w:panose1 w:val="02020603050405020304"/>
    <w:charset w:val="86"/>
    <w:family w:val="roman"/>
    <w:pitch w:val="default"/>
    <w:sig w:usb0="00000000" w:usb1="00000000" w:usb2="00000021" w:usb3="00000000" w:csb0="600001BF" w:csb1="DFF70000"/>
  </w:font>
  <w:font w:name="Cambria">
    <w:panose1 w:val="02040503050406030204"/>
    <w:charset w:val="86"/>
    <w:family w:val="roman"/>
    <w:pitch w:val="default"/>
    <w:sig w:usb0="E00006FF" w:usb1="400004FF" w:usb2="00000000" w:usb3="00000000" w:csb0="2000019F" w:csb1="00000000"/>
  </w:font>
  <w:font w:name="Arial">
    <w:panose1 w:val="020B0604020202020204"/>
    <w:charset w:val="86"/>
    <w:family w:val="roma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roman"/>
    <w:pitch w:val="default"/>
    <w:sig w:usb0="E0002AFF" w:usb1="C000247B" w:usb2="00000009" w:usb3="00000000" w:csb0="200001FF" w:csb1="00000000"/>
  </w:font>
  <w:font w:name="Liberation Sans">
    <w:altName w:val="宋体"/>
    <w:panose1 w:val="020B0604020202020204"/>
    <w:charset w:val="86"/>
    <w:family w:val="swiss"/>
    <w:pitch w:val="default"/>
    <w:sig w:usb0="00000000" w:usb1="00000000" w:usb2="00000021" w:usb3="00000000" w:csb0="600001BF" w:csb1="DFF70000"/>
  </w:font>
  <w:font w:name="宋?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auto"/>
    <w:pitch w:val="default"/>
    <w:sig w:usb0="00000000" w:usb1="00000000" w:usb2="00000000" w:usb3="00000000" w:csb0="00000001" w:csb1="0000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C7725"/>
    <w:rsid w:val="00107882"/>
    <w:rsid w:val="005C7057"/>
    <w:rsid w:val="00C63A52"/>
    <w:rsid w:val="010F2FE5"/>
    <w:rsid w:val="01104BA3"/>
    <w:rsid w:val="011F6115"/>
    <w:rsid w:val="02464A72"/>
    <w:rsid w:val="035426A1"/>
    <w:rsid w:val="067014ED"/>
    <w:rsid w:val="06E376E3"/>
    <w:rsid w:val="08121D77"/>
    <w:rsid w:val="0AF84077"/>
    <w:rsid w:val="11E00E38"/>
    <w:rsid w:val="12FD315E"/>
    <w:rsid w:val="13084E84"/>
    <w:rsid w:val="136D7FFD"/>
    <w:rsid w:val="139319F5"/>
    <w:rsid w:val="163E52BC"/>
    <w:rsid w:val="16A94676"/>
    <w:rsid w:val="18A920FD"/>
    <w:rsid w:val="18C33656"/>
    <w:rsid w:val="19DC6CD5"/>
    <w:rsid w:val="19FE1EA6"/>
    <w:rsid w:val="1B780635"/>
    <w:rsid w:val="1CE15ACB"/>
    <w:rsid w:val="1D295592"/>
    <w:rsid w:val="1E4C4C98"/>
    <w:rsid w:val="202E5084"/>
    <w:rsid w:val="23A2514A"/>
    <w:rsid w:val="23F11E4C"/>
    <w:rsid w:val="256366EA"/>
    <w:rsid w:val="27A950A7"/>
    <w:rsid w:val="27BD27D5"/>
    <w:rsid w:val="287D73F5"/>
    <w:rsid w:val="29A80A98"/>
    <w:rsid w:val="2A515BC4"/>
    <w:rsid w:val="2A607CE7"/>
    <w:rsid w:val="2BB44B1F"/>
    <w:rsid w:val="2C6C1930"/>
    <w:rsid w:val="2DC41DB6"/>
    <w:rsid w:val="32247EF4"/>
    <w:rsid w:val="3309429F"/>
    <w:rsid w:val="34564A51"/>
    <w:rsid w:val="39604C6D"/>
    <w:rsid w:val="39E82526"/>
    <w:rsid w:val="3A2200CA"/>
    <w:rsid w:val="3BB9478B"/>
    <w:rsid w:val="3C2D0C3B"/>
    <w:rsid w:val="3D671E4B"/>
    <w:rsid w:val="3DC8784D"/>
    <w:rsid w:val="3F5370A7"/>
    <w:rsid w:val="3F61211E"/>
    <w:rsid w:val="3FAC2537"/>
    <w:rsid w:val="3FD533DE"/>
    <w:rsid w:val="40192897"/>
    <w:rsid w:val="40283143"/>
    <w:rsid w:val="40FC54F9"/>
    <w:rsid w:val="41314384"/>
    <w:rsid w:val="45FD5A16"/>
    <w:rsid w:val="4772291A"/>
    <w:rsid w:val="48987D6A"/>
    <w:rsid w:val="4918397B"/>
    <w:rsid w:val="4924160D"/>
    <w:rsid w:val="49BC26D7"/>
    <w:rsid w:val="4A084098"/>
    <w:rsid w:val="4A9B2006"/>
    <w:rsid w:val="4B060B9A"/>
    <w:rsid w:val="4DBA5904"/>
    <w:rsid w:val="4FCF0D79"/>
    <w:rsid w:val="52036440"/>
    <w:rsid w:val="542B2273"/>
    <w:rsid w:val="54A17B5C"/>
    <w:rsid w:val="54B05035"/>
    <w:rsid w:val="5592118F"/>
    <w:rsid w:val="5835700D"/>
    <w:rsid w:val="5A1A53A2"/>
    <w:rsid w:val="5A977A2C"/>
    <w:rsid w:val="5B0D6AF3"/>
    <w:rsid w:val="5E1D4B81"/>
    <w:rsid w:val="5E5F5AE0"/>
    <w:rsid w:val="5F8B0389"/>
    <w:rsid w:val="61ED7468"/>
    <w:rsid w:val="62730F85"/>
    <w:rsid w:val="63F33909"/>
    <w:rsid w:val="6424302D"/>
    <w:rsid w:val="643D7F29"/>
    <w:rsid w:val="69712E25"/>
    <w:rsid w:val="6AD4735D"/>
    <w:rsid w:val="6B122547"/>
    <w:rsid w:val="6D4879AF"/>
    <w:rsid w:val="6DB0343A"/>
    <w:rsid w:val="6FA909C7"/>
    <w:rsid w:val="7239591D"/>
    <w:rsid w:val="729E0917"/>
    <w:rsid w:val="72D53C29"/>
    <w:rsid w:val="743864D8"/>
    <w:rsid w:val="746F2EB7"/>
    <w:rsid w:val="75D4245B"/>
    <w:rsid w:val="766D1530"/>
    <w:rsid w:val="772F0D98"/>
    <w:rsid w:val="785D43C5"/>
    <w:rsid w:val="795B48DA"/>
    <w:rsid w:val="79823418"/>
    <w:rsid w:val="7B3C263A"/>
    <w:rsid w:val="7B6B1B8A"/>
    <w:rsid w:val="7B946CDF"/>
    <w:rsid w:val="7BB82443"/>
    <w:rsid w:val="7C2416B1"/>
    <w:rsid w:val="7E3B56D4"/>
    <w:rsid w:val="7EAF2173"/>
    <w:rsid w:val="7F971E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2017-07-19T09:44:00Z</dcterms:created>
  <dc:creator>admin</dc:creator>
  <cp:lastModifiedBy>北北</cp:lastModifiedBy>
  <dcterms:modified xsi:type="dcterms:W3CDTF">2018-01-31T03:26:10Z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