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196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CTS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中央收费软件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9746"/>
        </w:tabs>
        <w:ind w:left="0" w:leftChars="0" w:firstLine="320" w:firstLineChars="100"/>
        <w:jc w:val="center"/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_Toc26359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一、收费主界面</w:t>
      </w:r>
      <w:r>
        <w:tab/>
      </w:r>
      <w:r>
        <w:fldChar w:fldCharType="begin"/>
      </w:r>
      <w:r>
        <w:instrText xml:space="preserve"> PAGEREF _Toc26359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_Toc157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1.1当班统计</w:t>
      </w:r>
      <w:r>
        <w:tab/>
      </w:r>
      <w:r>
        <w:fldChar w:fldCharType="begin"/>
      </w:r>
      <w:r>
        <w:instrText xml:space="preserve"> PAGEREF _Toc157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_Toc8430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1.2车辆列表</w:t>
      </w:r>
      <w:r>
        <w:tab/>
      </w:r>
      <w:r>
        <w:fldChar w:fldCharType="begin"/>
      </w:r>
      <w:r>
        <w:instrText xml:space="preserve"> PAGEREF _Toc8430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_Toc20830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1.3收费操作面板</w:t>
      </w:r>
      <w:r>
        <w:tab/>
      </w:r>
      <w:r>
        <w:fldChar w:fldCharType="begin"/>
      </w:r>
      <w:r>
        <w:instrText xml:space="preserve"> PAGEREF _Toc20830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_Toc16471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二、用户中心</w:t>
      </w:r>
      <w:r>
        <w:tab/>
      </w:r>
      <w:r>
        <w:fldChar w:fldCharType="begin"/>
      </w:r>
      <w:r>
        <w:instrText xml:space="preserve"> PAGEREF _Toc16471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_Toc5440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2.1启用/停用通道</w:t>
      </w:r>
      <w:r>
        <w:tab/>
      </w:r>
      <w:r>
        <w:fldChar w:fldCharType="begin"/>
      </w:r>
      <w:r>
        <w:instrText xml:space="preserve"> PAGEREF _Toc5440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_Toc2295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2.2修改密码</w:t>
      </w:r>
      <w:r>
        <w:tab/>
      </w:r>
      <w:r>
        <w:fldChar w:fldCharType="begin"/>
      </w:r>
      <w:r>
        <w:instrText xml:space="preserve"> PAGEREF _Toc2295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_Toc3761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2.3交接班</w:t>
      </w:r>
      <w:r>
        <w:tab/>
      </w:r>
      <w:r>
        <w:fldChar w:fldCharType="begin"/>
      </w:r>
      <w:r>
        <w:instrText xml:space="preserve"> PAGEREF _Toc3761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_Toc29270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2.4下班</w:t>
      </w:r>
      <w:r>
        <w:tab/>
      </w:r>
      <w:r>
        <w:fldChar w:fldCharType="begin"/>
      </w:r>
      <w:r>
        <w:instrText xml:space="preserve"> PAGEREF _Toc29270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_Toc25246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三、信息列表</w:t>
      </w:r>
      <w:r>
        <w:tab/>
      </w:r>
      <w:r>
        <w:fldChar w:fldCharType="begin"/>
      </w:r>
      <w:r>
        <w:instrText xml:space="preserve"> PAGEREF _Toc25246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_Toc4876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3.1 VIP车辆</w:t>
      </w:r>
      <w:r>
        <w:tab/>
      </w:r>
      <w:r>
        <w:fldChar w:fldCharType="begin"/>
      </w:r>
      <w:r>
        <w:instrText xml:space="preserve"> PAGEREF _Toc4876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_Toc17691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3.2欠费车辆</w:t>
      </w:r>
      <w:r>
        <w:tab/>
      </w:r>
      <w:r>
        <w:fldChar w:fldCharType="begin"/>
      </w:r>
      <w:r>
        <w:instrText xml:space="preserve"> PAGEREF _Toc17691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_Toc20312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四、凭条打印设置</w:t>
      </w:r>
      <w:r>
        <w:tab/>
      </w:r>
      <w:r>
        <w:fldChar w:fldCharType="begin"/>
      </w:r>
      <w:r>
        <w:instrText xml:space="preserve"> PAGEREF _Toc20312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_Toc20502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4.1缴费凭条打印</w:t>
      </w:r>
      <w:r>
        <w:tab/>
      </w:r>
      <w:r>
        <w:fldChar w:fldCharType="begin"/>
      </w:r>
      <w:r>
        <w:instrText xml:space="preserve"> PAGEREF _Toc20502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_Toc11624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4.2补缴凭条打印</w:t>
      </w:r>
      <w:r>
        <w:tab/>
      </w:r>
      <w:r>
        <w:fldChar w:fldCharType="begin"/>
      </w:r>
      <w:r>
        <w:instrText xml:space="preserve"> PAGEREF _Toc11624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_Toc31999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五、更换主题</w:t>
      </w:r>
      <w:r>
        <w:tab/>
      </w:r>
      <w:r>
        <w:fldChar w:fldCharType="begin"/>
      </w:r>
      <w:r>
        <w:instrText xml:space="preserve"> PAGEREF _Toc31999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_Toc1284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六、中央辅屏</w:t>
      </w:r>
      <w:r>
        <w:tab/>
      </w:r>
      <w:r>
        <w:fldChar w:fldCharType="begin"/>
      </w:r>
      <w:r>
        <w:instrText xml:space="preserve"> PAGEREF _Toc1284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_Toc16454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6.1软键盘辅屏</w:t>
      </w:r>
      <w:r>
        <w:tab/>
      </w:r>
      <w:r>
        <w:fldChar w:fldCharType="begin"/>
      </w:r>
      <w:r>
        <w:instrText xml:space="preserve"> PAGEREF _Toc16454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_Toc11645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6.2纯辅屏</w:t>
      </w:r>
      <w:r>
        <w:tab/>
      </w:r>
      <w:r>
        <w:fldChar w:fldCharType="begin"/>
      </w:r>
      <w:r>
        <w:instrText xml:space="preserve"> PAGEREF _Toc11645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CTS</w: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eastAsia="zh-CN"/>
        </w:rPr>
        <w:t>中央收费软件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9"/>
        <w:tblpPr w:leftFromText="180" w:rightFromText="180" w:vertAnchor="text" w:horzAnchor="page" w:tblpXSpec="center" w:tblpY="416"/>
        <w:tblOverlap w:val="never"/>
        <w:tblW w:w="10120" w:type="dxa"/>
        <w:jc w:val="center"/>
        <w:tblInd w:w="-24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1"/>
        <w:gridCol w:w="1280"/>
        <w:gridCol w:w="1440"/>
        <w:gridCol w:w="846"/>
        <w:gridCol w:w="1803"/>
        <w:gridCol w:w="34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3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12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拟制人/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修改人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修改日期</w:t>
            </w:r>
          </w:p>
        </w:tc>
        <w:tc>
          <w:tcPr>
            <w:tcW w:w="84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803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tabs>
                <w:tab w:val="left" w:pos="582"/>
              </w:tabs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更改理由</w:t>
            </w:r>
          </w:p>
        </w:tc>
        <w:tc>
          <w:tcPr>
            <w:tcW w:w="34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主要更改内容（写要点即可）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杨丰泽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2017-7-20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2017-08-24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 xml:space="preserve">修改为中性版 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更改所有含“艾科”“AKE”的内容及图片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2017-11-16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V2.12的迭代功能点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在中央收费系统首页-当班统计中增加次数统计，增加辅屏页面说明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2017-11-30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V2.13的迭代功能点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更新微信/支付宝被扫、对接ETC的功能模块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2018-01-29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V2.14的迭代功能点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1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新增电子发票模块；</w:t>
            </w:r>
          </w:p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2.新增打印凭条设置页面。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2018-04-03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V2.15的迭代功能点</w:t>
            </w:r>
          </w:p>
        </w:tc>
        <w:tc>
          <w:tcPr>
            <w:tcW w:w="3450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1.增加了中央收费软件收费统计信息的隐藏功能。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V1.6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2018-05-14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V2.16 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1.</w:t>
            </w:r>
            <w:bookmarkStart w:id="19" w:name="_GoBack"/>
            <w:bookmarkEnd w:id="19"/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兼容XP系统的Chrome 41版本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9" w:hRule="atLeast"/>
          <w:jc w:val="center"/>
        </w:trPr>
        <w:tc>
          <w:tcPr>
            <w:tcW w:w="101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bCs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bCs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21"/>
                <w:szCs w:val="21"/>
                <w:lang w:eastAsia="zh-CN"/>
              </w:rPr>
              <w:t>注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  <w:lang w:val="en-US" w:eastAsia="zh-CN"/>
              </w:rPr>
              <w:t>3：参考《视频一体式停车场管理系统全流程配置说明》来编写</w:t>
            </w:r>
          </w:p>
        </w:tc>
      </w:tr>
    </w:tbl>
    <w:p>
      <w:pPr>
        <w:ind w:left="0" w:leftChars="0" w:firstLine="420" w:firstLineChars="0"/>
      </w:pPr>
    </w:p>
    <w:p>
      <w:pPr>
        <w:ind w:left="0" w:leftChars="0" w:firstLine="420" w:firstLineChars="0"/>
      </w:pPr>
    </w:p>
    <w:p>
      <w:pPr>
        <w:ind w:left="0" w:leftChars="0" w:firstLine="420" w:firstLineChars="0"/>
      </w:pPr>
    </w:p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TS中央收费软件是服务于VEMS的线下中央收费软件，CTS与VEMS使用的是同个数据库，与VEMS的数据可简单理解为是实时同步的。CTS为同一VEMS上的多个停车场提供了查费、收费功能，还提供了同个运营商下所有欠费车辆的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以下将CTS分为收费主界面、用户中心、信息列表、凭条打印设置、更换主题和中央辅屏等六个模块来介绍其主要功能。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CTS不兼容浏览器提示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：当中央收费软件在不兼容的浏览器下运行时，可能会出现页面打开失败、功能缺失等异常情况，因此建议用户更换以下兼容的浏览器使用。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Windows环境： IE10以上 和 Chrome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41</w:t>
      </w:r>
      <w:r>
        <w:rPr>
          <w:rFonts w:hint="eastAsia" w:ascii="微软雅黑" w:hAnsi="微软雅黑" w:eastAsia="微软雅黑"/>
          <w:color w:val="000000"/>
          <w:sz w:val="24"/>
          <w:lang w:val="zh-CN"/>
        </w:rPr>
        <w:t>及以上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Linux环境： Chromium31.0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Ipad环境： Chrome50及以上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78550" cy="2881630"/>
            <wp:effectExtent l="0" t="0" r="6350" b="12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0" w:name="_Toc2635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一、收费主界面</w:t>
      </w:r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如下图所示该功能界面包含三大板块，分别为当班统计、车辆列表、收费操作面板。该界面是CTS系统的主操作界面，与车辆收费、在场补录、校正等相关操作都在此面板中集成。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8610"/>
            <wp:effectExtent l="0" t="0" r="3175" b="8890"/>
            <wp:docPr id="33" name="图片 33" descr="E:\工作夹\AKE\2017\-产品\系统截图\CTS\中央收费.png中央收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:\工作夹\AKE\2017\-产品\系统截图\CTS\中央收费.png中央收费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1" w:name="_Toc157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1.1当班统计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如下图所示，当班统计板块展示当前登录的收费员信息，以及在当班时间内该收费员的具体收费款项情况的系统实时统计。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509645" cy="1341120"/>
            <wp:effectExtent l="0" t="0" r="825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右上角在卡票机入口缺少卡/票时，会显示红色区域并以文字滚动提示。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676650" cy="1405255"/>
            <wp:effectExtent l="0" t="0" r="635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点击收费明细按钮跳转到收费明细列表页面，如下图所示，列表展示所有收费流水的详细信息，并提供自定义条件查询功能。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9270" cy="2576195"/>
            <wp:effectExtent l="0" t="0" r="11430" b="1905"/>
            <wp:docPr id="34" name="图片 34" descr="收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收费明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如果不想展示收费员当班统计信息，可在停车场配置中设置隐藏收费统计信息。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6181725" cy="2849245"/>
            <wp:effectExtent l="0" t="0" r="317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设置隐藏收费统计信息后，在中央收费系统里面将不会显示收费统计信息。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2" w:name="_Toc84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1.2车辆列表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如下图所示，车辆列表模块中记录的是所有在场车辆的信息，切换tab栏可查看未识别车辆、无牌车、遮挡车、排队车辆和自助开闸车辆，收费员可直接选中列表中的车辆，右侧收费操作面板将计算显示收费金额。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40810" cy="2601595"/>
            <wp:effectExtent l="0" t="0" r="8890" b="1905"/>
            <wp:docPr id="35" name="图片 35" descr="车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车辆列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车主自助开闸的情况下，车主扫码出场未能匹配进场信息时，收费员可根据车主提供的随机码搜索车辆列表。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69690" cy="28416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当车车主交费，收费员没有查询到对应的在场车辆信息时，可点击补录按钮，弹窗如下图所示，进行车辆进场信息的补录。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6350" cy="2178050"/>
            <wp:effectExtent l="0" t="0" r="6350" b="6350"/>
            <wp:docPr id="36" name="图片 36" descr="补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补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3" w:name="_Toc208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1.3收费操作面板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如下图所示，该板块主要集成收费车辆的相关信息，计费金额信息，以及查询、校正、优惠配置等操作。该板块是收费员的主要操作区域。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3635" cy="3312795"/>
            <wp:effectExtent l="0" t="0" r="12065" b="1905"/>
            <wp:docPr id="37" name="图片 37" descr="E:\工作夹\AKE\2017\-产品\系统截图\CTS\收费操作面板.png收费操作面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CTS\收费操作面板.png收费操作面板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在车辆列表中选中的在场车辆暂未产生费用时，收费操作面板中显示的是预收费按钮，如下图：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77740" cy="829945"/>
            <wp:effectExtent l="9525" t="9525" r="1333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29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在车辆列表中选中的在场车辆已产生应收费用时，收费操作面板中显示的是收费按钮，如下图：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99965" cy="899160"/>
            <wp:effectExtent l="9525" t="9525" r="16510" b="184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899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在车辆列表中选中的在场车辆已产生应收费用并已交足费用时，收费操作面板中显示的是收费按钮，且按钮置灰不可再次收费。如下图：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820920" cy="864870"/>
            <wp:effectExtent l="9525" t="9525" r="2095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6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当支持扫描用户微信或支付宝付款二维码收费时，收费方式将显示现金、微信和支付宝三种方式，收费员可根据实际情况进行选择。如下图：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28640" cy="480695"/>
            <wp:effectExtent l="0" t="0" r="1016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选择微信或支付宝收费时，收费操作面板显示“收费”和“已缴费待确认”两个按钮。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扫码枪扫描用户付款二维码发起支付请求，扣费成功时将显示扣费成功，扣费失败将显示扣费失败，如果用户端显示已成功扣费，则收费员可以点击已缴费待确认，默认用户缴费成功，并在VEMS系统出场记录和收费流水中对此条记录进行标记。如果无法扣费成功，用户采用现金支付，则收费员点击收费按钮默认为现金支付成功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73725" cy="494030"/>
            <wp:effectExtent l="0" t="0" r="3175" b="12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收费成功后可点击打印凭条按钮打印当前收费凭条，如下图：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2958465" cy="504825"/>
            <wp:effectExtent l="9525" t="9525" r="1651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04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收费员可在搜索区域查询对应在场车辆信息，勾选软件盘，则系统提供点选软件盘输入方式。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518025" cy="401320"/>
            <wp:effectExtent l="9525" t="9525" r="19050" b="209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401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点击校正按钮弹窗如下图所示，可对当前选中车辆信息的车牌进行人工手动校正，勾选软件盘，则系统提供点选软件盘输入方式。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447925" cy="2233295"/>
            <wp:effectExtent l="9525" t="9525" r="1905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3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4" w:name="_Toc1647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二、用户中心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点击系统窗口右上角的用户图标弹出菜单浮窗，如下图所示，子选项包含启用/停用通道、修改密码、交接班、下班。可对上述各项进行详细配置。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0" name="图片 40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个人中心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544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2.1启用/停用通道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如下图所示，点击该功能按钮弹窗如下图所示，显示当前登录收费员拥有收费权限的所有通道口，可自由启用/停用各通道。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停用通道后，该通道不会再次显示在列表中，若要恢复显示需在VEMS后台中重新启用该通道。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753360" cy="1539240"/>
            <wp:effectExtent l="0" t="0" r="254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229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2.2修改密码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如下图所示，点击该功能按钮弹窗如下图所示，可修改当前登录账户的原有密码。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886200" cy="1935480"/>
            <wp:effectExtent l="9525" t="9525" r="952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3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7" w:name="_Toc376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2.3交接班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如下图所示，点击该功能按钮弹窗如下图所示，可指定交班人账户，且输入登录密码后可完成交班操作。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277870" cy="2089785"/>
            <wp:effectExtent l="9525" t="9525" r="2730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089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8" w:name="_Toc2927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2.4下班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如下图所示，点击该功能按钮弹窗如下图所示，可输入当前登录收费员账户密码，执行确认操作后完成下班流程。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381375" cy="1888490"/>
            <wp:effectExtent l="9525" t="9525" r="19050" b="260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8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9" w:name="_Toc2524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三、信息列表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点击系统窗口右上角的集合菜单图标弹出菜单浮窗，如下图所示，子选项包含VIP车辆、欠费车辆。上述各项信息列表提供查询关键词查询功能。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1590675"/>
            <wp:effectExtent l="9525" t="9525" r="19050" b="19050"/>
            <wp:docPr id="26" name="图片 26" descr="集合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集合菜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</w:pPr>
      <w:bookmarkStart w:id="10" w:name="_Toc4876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3.1 VIP车辆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如下图所示，在集合菜单点击VIP车辆，跳转到如下图所示列表，可查询管理后台记录的所有VIP车辆信息。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VIP车辆列表包含车牌号、车主姓名、总车位、剩余车位、VIP别称、结算类型、剩余值、VIP状态、有效期开始时间、有效期结束时间、公私车、公司名称、部门名称、地址、备注一二三等字段。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1" name="图片 41" descr="VIP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IP车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1769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3.2欠费车辆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如下图所示，在集合菜单点击欠费车辆，跳转到如下图所示列表，可查询管理后台记录的所有欠费车辆信息，同时提供欠费补交操作。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欠费车辆列表包含车牌号、卡号、停车费用、已优惠金额、已缴金额、当前优惠、当前欠费、补缴金额、是否已补缴、是否取消欠费、收费员、补缴时间、停车时长、停车场名称、进场时间、进场车牌图片、出场时间和出场车牌图片等字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2" name="图片 42" descr="欠费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欠费车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勾选需要补缴的记录，点击“欠费补交”按钮，弹出补缴确认弹窗。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1822450"/>
            <wp:effectExtent l="0" t="0" r="0" b="6350"/>
            <wp:docPr id="43" name="图片 43" descr="欠费补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欠费补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确认欠费补缴成功后，将弹出补缴成功的提示，并提供了打印补缴凭条的入口。用户可以选择打印补缴凭条 ，也可以点击取消放弃打印补缴凭条。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需要注意的是：补缴成功的弹窗是欠费补缴打印凭条的唯一入口，仅可针对补缴操作进行打印凭条的操作；补缴成功后将不再提供针对补缴记录的打印凭条功能。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16250" cy="971550"/>
            <wp:effectExtent l="0" t="0" r="6350" b="6350"/>
            <wp:docPr id="8" name="图片 8" descr="欠费补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欠费补缴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2" w:name="_Toc20312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四、凭条打印设置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点击系统窗口右上角的设置图标，弹出缴费凭条打印和补缴凭条打印的设置页面。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648200" cy="1092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13" w:name="_Toc2050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4.1缴费凭条打印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缴费凭条打印分为打印方式设置、电子发票二维码状态开关设置及打印格式设置。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3025" cy="4832985"/>
            <wp:effectExtent l="0" t="0" r="3175" b="5715"/>
            <wp:docPr id="10" name="图片 10" descr="缴费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缴费凭条打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打印方式设置：自动打印，即收费成功后系统自动打印缴费凭条；手动打印，即收费成功后，收费员点击“打印凭条”按钮打印缴费凭条；关闭，即关闭打印缴费凭条的入口，不支持缴费凭条的打印。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电子发票二维码状态：开启时，打印缴费凭条时将打印电子发票的二维码，车主扫描二维码即可进入一点停开具电子发票页面，进行开具发票的操作。关闭时，仅打印缴费凭条，不打印电子发票二维码。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打印格式设置：点击”编辑“，可编辑凭条打印的字段、收费说明以及电子发票二维码说明。点击”预览“，可预览凭条打印出来的效果。点击”打印测试“按钮，可直接打印当前设置的凭条样式。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66720" cy="2774315"/>
            <wp:effectExtent l="0" t="0" r="508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1162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4.2补缴凭条打印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补缴凭条打印与缴费凭条打印基本一致，也分为打印方式设置、电子发票二维码状态开关设置及打印格式设置。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设置内容和设置方式也与缴费凭条打印一致，可参照4.1缴费凭条打印的说明进行设置。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61055" cy="4601845"/>
            <wp:effectExtent l="0" t="0" r="4445" b="8255"/>
            <wp:docPr id="18" name="图片 18" descr="补缴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补缴凭条打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5" w:name="_Toc3199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五、更换主题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点击系统窗口右上角的主题图标，弹出支持的主题样式，可更换系统的主题样式。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733800" cy="15430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6" w:name="_Toc1284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六、中央辅屏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中央辅屏系统是配合中央收费系统使用的面向车主用户的系统，与中央收费系统相连通，面向用户展示停车收费及优惠详情。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当前中央辅屏有两个模式——软键盘辅屏和纯辅屏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86530" cy="2409825"/>
            <wp:effectExtent l="0" t="0" r="1270" b="3175"/>
            <wp:docPr id="6" name="图片 6" descr="辅屏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辅屏登录界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17" w:name="_Toc1645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6.1软键盘辅屏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车主用户可在软键盘辅屏界面查询自己的车辆停车信息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378450" cy="2489200"/>
            <wp:effectExtent l="0" t="0" r="6350" b="0"/>
            <wp:docPr id="22" name="图片 22" descr="软键盘辅屏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软键盘辅屏主页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车主用户在辅屏界面输入车牌号码查询停车信息，确认停车费用后，中央收费系统将在排队车辆中对该车辆进行收费操作。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89550" cy="2419985"/>
            <wp:effectExtent l="0" t="0" r="6350" b="5715"/>
            <wp:docPr id="2" name="图片 2" descr="查询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询页面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95900" cy="2443480"/>
            <wp:effectExtent l="0" t="0" r="0" b="7620"/>
            <wp:docPr id="25" name="图片 25" descr="中央收费排队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中央收费排队车辆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收费成功后，辅屏界面将返回支付成功信息。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628005" cy="2590800"/>
            <wp:effectExtent l="0" t="0" r="10795" b="0"/>
            <wp:docPr id="29" name="图片 29" descr="辅屏显示收费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辅屏显示收费成功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1164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6.2纯辅屏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纯辅屏相对于软键盘辅屏，只对车主用户提供一个展示功能，首页是一张停车场配置的大图，可显示该停车场最近的活动信息。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41825" cy="2049145"/>
            <wp:effectExtent l="0" t="0" r="3175" b="8255"/>
            <wp:docPr id="30" name="图片 30" descr="纯辅屏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纯辅屏主界面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中央收费系统查询用户费用后，将在纯辅屏界面对用户展示费用详情，用户可直接扫描车场二维码进行支付。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22495" cy="2173605"/>
            <wp:effectExtent l="0" t="0" r="1905" b="10795"/>
            <wp:docPr id="31" name="图片 31" descr="纯辅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纯辅屏界面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用户支付成功后，纯辅屏界面返回收费成功页面。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98695" cy="2201545"/>
            <wp:effectExtent l="0" t="0" r="1905" b="8255"/>
            <wp:docPr id="32" name="图片 32" descr="纯辅屏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纯辅屏支付成功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C7725"/>
    <w:rsid w:val="00107882"/>
    <w:rsid w:val="005C7057"/>
    <w:rsid w:val="00C63A52"/>
    <w:rsid w:val="010F2FE5"/>
    <w:rsid w:val="01104BA3"/>
    <w:rsid w:val="011F6115"/>
    <w:rsid w:val="014D6428"/>
    <w:rsid w:val="02464A72"/>
    <w:rsid w:val="035426A1"/>
    <w:rsid w:val="067014ED"/>
    <w:rsid w:val="06E376E3"/>
    <w:rsid w:val="076275B0"/>
    <w:rsid w:val="07A87C00"/>
    <w:rsid w:val="08121D77"/>
    <w:rsid w:val="0AF84077"/>
    <w:rsid w:val="11E00E38"/>
    <w:rsid w:val="12FD315E"/>
    <w:rsid w:val="13084E84"/>
    <w:rsid w:val="136D7FFD"/>
    <w:rsid w:val="139319F5"/>
    <w:rsid w:val="141D6497"/>
    <w:rsid w:val="16314523"/>
    <w:rsid w:val="163E52BC"/>
    <w:rsid w:val="16A94676"/>
    <w:rsid w:val="18310407"/>
    <w:rsid w:val="18A6056F"/>
    <w:rsid w:val="18A920FD"/>
    <w:rsid w:val="18C33656"/>
    <w:rsid w:val="19DC6CD5"/>
    <w:rsid w:val="19FE1EA6"/>
    <w:rsid w:val="1B780635"/>
    <w:rsid w:val="1CE15ACB"/>
    <w:rsid w:val="1D295592"/>
    <w:rsid w:val="1E4C4C98"/>
    <w:rsid w:val="202E5084"/>
    <w:rsid w:val="23A2514A"/>
    <w:rsid w:val="23F11E4C"/>
    <w:rsid w:val="256366EA"/>
    <w:rsid w:val="27A950A7"/>
    <w:rsid w:val="27BD27D5"/>
    <w:rsid w:val="287D73F5"/>
    <w:rsid w:val="29A80A98"/>
    <w:rsid w:val="2A515BC4"/>
    <w:rsid w:val="2A607CE7"/>
    <w:rsid w:val="2BB44B1F"/>
    <w:rsid w:val="2C6C1930"/>
    <w:rsid w:val="2DC41DB6"/>
    <w:rsid w:val="32247EF4"/>
    <w:rsid w:val="3309429F"/>
    <w:rsid w:val="341C76C0"/>
    <w:rsid w:val="34564A51"/>
    <w:rsid w:val="39604C6D"/>
    <w:rsid w:val="39E82526"/>
    <w:rsid w:val="3A2200CA"/>
    <w:rsid w:val="3BB9478B"/>
    <w:rsid w:val="3C2D0C3B"/>
    <w:rsid w:val="3D671E4B"/>
    <w:rsid w:val="3DC8784D"/>
    <w:rsid w:val="3F5370A7"/>
    <w:rsid w:val="3F61211E"/>
    <w:rsid w:val="3FAC2537"/>
    <w:rsid w:val="3FD533DE"/>
    <w:rsid w:val="40192897"/>
    <w:rsid w:val="40283143"/>
    <w:rsid w:val="40505D1A"/>
    <w:rsid w:val="40FC54F9"/>
    <w:rsid w:val="41314384"/>
    <w:rsid w:val="45FD5A16"/>
    <w:rsid w:val="4772291A"/>
    <w:rsid w:val="48987D6A"/>
    <w:rsid w:val="4918397B"/>
    <w:rsid w:val="4924160D"/>
    <w:rsid w:val="49BC26D7"/>
    <w:rsid w:val="4A084098"/>
    <w:rsid w:val="4A9B2006"/>
    <w:rsid w:val="4B060B9A"/>
    <w:rsid w:val="4DBA5904"/>
    <w:rsid w:val="4E2146B8"/>
    <w:rsid w:val="4FCF0D79"/>
    <w:rsid w:val="52036440"/>
    <w:rsid w:val="542B2273"/>
    <w:rsid w:val="54A17B5C"/>
    <w:rsid w:val="54B05035"/>
    <w:rsid w:val="5592118F"/>
    <w:rsid w:val="5835700D"/>
    <w:rsid w:val="5A1A53A2"/>
    <w:rsid w:val="5A977A2C"/>
    <w:rsid w:val="5B0D6AF3"/>
    <w:rsid w:val="5E1D4B81"/>
    <w:rsid w:val="5E5F5AE0"/>
    <w:rsid w:val="5F8B0389"/>
    <w:rsid w:val="61ED7468"/>
    <w:rsid w:val="62730F85"/>
    <w:rsid w:val="63F33909"/>
    <w:rsid w:val="6424302D"/>
    <w:rsid w:val="643D7F29"/>
    <w:rsid w:val="69712E25"/>
    <w:rsid w:val="6AD4735D"/>
    <w:rsid w:val="6B122547"/>
    <w:rsid w:val="6D4879AF"/>
    <w:rsid w:val="6DB0343A"/>
    <w:rsid w:val="6FA909C7"/>
    <w:rsid w:val="7239591D"/>
    <w:rsid w:val="729E0917"/>
    <w:rsid w:val="72D53C29"/>
    <w:rsid w:val="740A3369"/>
    <w:rsid w:val="743864D8"/>
    <w:rsid w:val="746F2EB7"/>
    <w:rsid w:val="75D4245B"/>
    <w:rsid w:val="766D1530"/>
    <w:rsid w:val="772F0D98"/>
    <w:rsid w:val="777230B9"/>
    <w:rsid w:val="785D43C5"/>
    <w:rsid w:val="795B48DA"/>
    <w:rsid w:val="79823418"/>
    <w:rsid w:val="7B3C263A"/>
    <w:rsid w:val="7B6B1B8A"/>
    <w:rsid w:val="7B946CDF"/>
    <w:rsid w:val="7BB82443"/>
    <w:rsid w:val="7C2416B1"/>
    <w:rsid w:val="7E3B56D4"/>
    <w:rsid w:val="7EAF2173"/>
    <w:rsid w:val="7F971E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2017-07-19T09:44:00Z</dcterms:created>
  <dc:creator>admin</dc:creator>
  <cp:lastModifiedBy>北北</cp:lastModifiedBy>
  <dcterms:modified xsi:type="dcterms:W3CDTF">2018-05-14T07:30:17Z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