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eastAsia="zh-CN"/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推广升级任务由一线单位主管（运营/客服）发起且附《可推广发布通知》为审批参考。</w:t>
      </w:r>
    </w:p>
    <w:tbl>
      <w:tblPr>
        <w:tblStyle w:val="7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2285"/>
        <w:gridCol w:w="2021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申请人：</w:t>
            </w:r>
          </w:p>
        </w:tc>
        <w:tc>
          <w:tcPr>
            <w:tcW w:w="2285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陈钰贤</w:t>
            </w:r>
          </w:p>
        </w:tc>
        <w:tc>
          <w:tcPr>
            <w:tcW w:w="202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申请时间：</w:t>
            </w:r>
          </w:p>
        </w:tc>
        <w:tc>
          <w:tcPr>
            <w:tcW w:w="30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2018年09月26日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需求方：</w:t>
            </w:r>
          </w:p>
        </w:tc>
        <w:tc>
          <w:tcPr>
            <w:tcW w:w="2285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eastAsia="zh-CN"/>
              </w:rPr>
              <w:t>产品迭代规划</w:t>
            </w:r>
          </w:p>
        </w:tc>
        <w:tc>
          <w:tcPr>
            <w:tcW w:w="202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需求升级时间：</w:t>
            </w:r>
          </w:p>
        </w:tc>
        <w:tc>
          <w:tcPr>
            <w:tcW w:w="30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2018年09月27日凌晨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167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任务说明：</w:t>
            </w:r>
          </w:p>
        </w:tc>
        <w:tc>
          <w:tcPr>
            <w:tcW w:w="7309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70C0"/>
                <w:sz w:val="22"/>
                <w:szCs w:val="22"/>
                <w:vertAlign w:val="baseline"/>
                <w:lang w:val="en-US" w:eastAsia="zh-CN"/>
              </w:rPr>
              <w:t>智泊云V1.2版本升级功能如下：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1、支持商家券和线上停车场优惠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2、支持对接ETC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3、支持电子发票和标记纸质票功能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4、历史消息页面显示具体操作内容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5、收费汇总-收费流水页面显示具体收费详情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6、支持人工匹配和模糊匹配功能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7、一体机上电及模式切换的显示播报功能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8、支持双无线策略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9、支持配置一体机语音板音量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10、优化管理员搜收费员的停车场权限定义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11、放行原因可配置数量增加至8个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12、离线放行策略支持配置自动放行/遥控放行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13、小程序页面支持显示收费员的当班通道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14、小程序页面支持显示账号名称（原显示微信昵称）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15、支持配置云停车场的临时车剩余车位数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16、支持管理员强制收费员下班功能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17、支持手动关闸功能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18、小程序页面可查看进出场记录功能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19、支持顺延24小时多次进出封顶功能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20、支持支付宝蓝盒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主要业务流程正常，遗留bug在此次升级的应用场景中影响可控，于2018年9月26日同意将此版本列为可发布版本；现安排升级进一步验证产品实现情况。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产品负责人：陈钰贤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技术负责人：汪健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测试负责人：何涌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70C0"/>
                <w:sz w:val="22"/>
                <w:szCs w:val="22"/>
                <w:vertAlign w:val="baseline"/>
                <w:lang w:val="en-US" w:eastAsia="zh-CN"/>
              </w:rPr>
              <w:t>中央值守V1.0.2版本升级功能如下：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主要兼容智泊云的新功能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主要业务流程正常，遗留bug在此次升级的应用场景中影响可控，于2018年9月26日同意将此版本列为可发布版本；现安排升级进一步验证产品实现情况。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产品负责人：陈钰贤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技术负责人：许炳忠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测试负责人：何涌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升级负责人：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龙宏海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升级影响范围：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AOMP、POMP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  <w:t>升级服务器(停车场)清单：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5"/>
                <w:szCs w:val="25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eastAsia="zh-CN"/>
              </w:rPr>
              <w:t>升级资料在</w:t>
            </w:r>
            <w:r>
              <w:rPr>
                <w:rFonts w:hint="eastAsia"/>
                <w:vertAlign w:val="baseline"/>
                <w:lang w:val="en-US" w:eastAsia="zh-CN"/>
              </w:rPr>
              <w:t>SVN路径：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智泊云及中央值守：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V1.2</w:t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部署包</w:t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位置</w:t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服务器10.10.22.41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root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ake123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/root/zby_deploy/V1.2.1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计费服务程序V2.3.4（智泊云专用）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instrText xml:space="preserve"> HYPERLINK "https://10.10.22.27/svn/AZP_ProdctrlArea/03研发文档-物料类（ERP）/08应用软件包/DCM/ChargeServer/V2.3.4（zb_cloud)" </w:instrText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fldChar w:fldCharType="separate"/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https://10.10.22.27/svn/AZP_ProdctrlArea/03研发文档-物料类（ERP）/08应用软件包/DCM/ChargeServer/V2.3.4（zb_cloud)</w:t>
            </w: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升级步骤：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智泊云：升级数据库，修改相关配置文件，更换V1.2版本jar包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中央值守：升级数据库，修改相关配置文件，更换中V1.0.2版本jar包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升级后验证：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eastAsia="zh-CN"/>
              </w:rPr>
              <w:t>智泊云1.2版本升级验证：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超管用户的创建与使用流程（配置一体机和转接盒子）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小程序用户的创建与使用流程（收费员与管理员）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临时车进出场流程        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月票车辆进出场流程      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未识别扫码自助进出场流程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云一体机版本立即升级    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收费员交接班/下班       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>快捷通道二维码支付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 xml:space="preserve">新增功能：                                                                    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>车主在小程序端使用商家券缴费离场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>无在场记录匹配功能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  <w:t>小程序可查看进出场记录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中央值守V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eastAsia="zh-CN"/>
              </w:rPr>
              <w:t>1.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val="en-US" w:eastAsia="zh-CN"/>
              </w:rPr>
              <w:t>0.2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olor w:val="0070C0"/>
                <w:sz w:val="22"/>
                <w:szCs w:val="22"/>
                <w:u w:val="none"/>
                <w:lang w:eastAsia="zh-CN"/>
              </w:rPr>
              <w:t>版本升级验证：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车辆进场不开闸，在中央值守能收到推送信息，并且可以操作放行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val="zh-CN" w:eastAsia="zh-CN"/>
              </w:rPr>
              <w:t>车辆出场不开闸，在中央值守能收到推送信息，并且可以操作放行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回退方案：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智泊云：回退到智泊云V1.1版本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70C0"/>
                <w:sz w:val="22"/>
                <w:szCs w:val="22"/>
                <w:vertAlign w:val="baseline"/>
                <w:lang w:val="en-US" w:eastAsia="zh-CN"/>
              </w:rPr>
              <w:t>中央值守：回退到中央值守V1.0.0版本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71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升级策略：</w:t>
            </w:r>
          </w:p>
        </w:tc>
        <w:tc>
          <w:tcPr>
            <w:tcW w:w="7309" w:type="dxa"/>
            <w:gridSpan w:val="3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黑体" w:hAnsi="黑体" w:eastAsia="黑体" w:cs="黑体"/>
                <w:i w:val="0"/>
                <w:color w:val="0070C0"/>
                <w:sz w:val="22"/>
                <w:szCs w:val="22"/>
                <w:u w:val="none"/>
                <w:lang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zh-CN" w:eastAsia="zh-CN"/>
              </w:rPr>
              <w:t>产品主管：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zh-CN" w:eastAsia="zh-CN"/>
              </w:rPr>
              <w:t>客服经理：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升级负责人：</w:t>
            </w:r>
          </w:p>
        </w:tc>
        <w:tc>
          <w:tcPr>
            <w:tcW w:w="5623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zh-CN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zh-CN" w:eastAsia="zh-CN"/>
        </w:rPr>
        <w:t>产品发起的由产品主管审批，客服发起的由客服经理审批</w:t>
      </w: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eastAsia="zh-CN"/>
        </w:rPr>
      </w:pPr>
    </w:p>
    <w:p>
      <w:pPr>
        <w:ind w:firstLine="2530" w:firstLineChars="900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计划审核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升级计划由升级负责人按以下审核流程提交审核：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平台升级由运营最高负责人及服务最高负责人审核，由总经理批准；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项目升级由运营最高负责人及服务最高负责人审批。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FF0000"/>
          <w:sz w:val="16"/>
          <w:szCs w:val="16"/>
          <w:lang w:eastAsia="zh-CN"/>
        </w:rPr>
      </w:pPr>
      <w:r>
        <w:rPr>
          <w:rFonts w:hint="eastAsia" w:ascii="Times New Roman" w:hAnsi="Times New Roman" w:cs="Times New Roman"/>
          <w:bCs/>
          <w:color w:val="FF0000"/>
          <w:sz w:val="16"/>
          <w:szCs w:val="16"/>
          <w:lang w:val="en-US" w:eastAsia="zh-CN"/>
        </w:rPr>
        <w:t>若升级计划既涉及项目升级也涉及平台升级，采用平台升级的审批流程。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6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客服主管：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3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0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运营总监：</w:t>
            </w:r>
          </w:p>
        </w:tc>
        <w:tc>
          <w:tcPr>
            <w:tcW w:w="6387" w:type="dxa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29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产品总监：</w:t>
            </w:r>
          </w:p>
        </w:tc>
        <w:tc>
          <w:tcPr>
            <w:tcW w:w="638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同意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不同意，理由：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          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签字：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b w:val="0"/>
          <w:bCs w:val="0"/>
          <w:color w:val="FF0000"/>
          <w:sz w:val="16"/>
          <w:szCs w:val="16"/>
          <w:lang w:eastAsia="zh-CN"/>
        </w:rPr>
      </w:pPr>
      <w:r>
        <w:rPr>
          <w:rFonts w:hint="eastAsia"/>
          <w:b w:val="0"/>
          <w:bCs w:val="0"/>
          <w:color w:val="FF0000"/>
          <w:sz w:val="16"/>
          <w:szCs w:val="16"/>
          <w:lang w:eastAsia="zh-CN"/>
        </w:rPr>
        <w:t>升级计划签批后，由升级负责人组建升级微信群，并发出升级计划，升级过程中若有任何问题，及时反馈。</w:t>
      </w:r>
    </w:p>
    <w:p>
      <w:p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升级结果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516" w:type="dxa"/>
          </w:tcPr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升级历时：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升级结果：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成功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Box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instrText xml:space="preserve">FORMCHECKBOX</w:instrTex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separate"/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fldChar w:fldCharType="end"/>
            </w:r>
            <w:bookmarkEnd w:id="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失败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失败原因：</w:t>
            </w: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ind w:left="0" w:leftChars="0" w:firstLine="0" w:firstLineChars="0"/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升级负责人：</w:t>
            </w:r>
          </w:p>
        </w:tc>
      </w:tr>
    </w:tbl>
    <w:p>
      <w:pPr>
        <w:ind w:left="0" w:leftChars="0" w:firstLine="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eastAsia"/>
          <w:color w:val="FF0000"/>
          <w:sz w:val="16"/>
          <w:szCs w:val="16"/>
          <w:lang w:eastAsia="zh-CN"/>
        </w:rPr>
        <w:t>升级完成后，由升级负责人在升级微信群中反馈升级结果，并将升级计划正本备份到配置管理员处。</w:t>
      </w:r>
    </w:p>
    <w:p>
      <w:pPr>
        <w:tabs>
          <w:tab w:val="left" w:pos="5185"/>
        </w:tabs>
        <w:spacing w:line="240" w:lineRule="auto"/>
        <w:ind w:left="994" w:hanging="994" w:hangingChars="550"/>
        <w:rPr>
          <w:rFonts w:hint="eastAsia" w:ascii="宋体" w:hAnsi="宋体" w:eastAsia="宋体"/>
          <w:b/>
          <w:sz w:val="18"/>
          <w:szCs w:val="18"/>
        </w:rPr>
      </w:pPr>
    </w:p>
    <w:p>
      <w:pPr>
        <w:tabs>
          <w:tab w:val="left" w:pos="5185"/>
        </w:tabs>
        <w:spacing w:line="240" w:lineRule="auto"/>
        <w:ind w:left="994" w:leftChars="0" w:hanging="994" w:hangingChars="550"/>
        <w:rPr>
          <w:rFonts w:hint="eastAsia"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填写说明：</w:t>
      </w:r>
      <w:r>
        <w:rPr>
          <w:rFonts w:hint="eastAsia" w:ascii="宋体" w:hAnsi="宋体" w:eastAsia="宋体"/>
          <w:sz w:val="18"/>
          <w:szCs w:val="18"/>
        </w:rPr>
        <w:t>本表单出自《</w:t>
      </w:r>
      <w:r>
        <w:rPr>
          <w:rFonts w:hint="eastAsia" w:ascii="宋体" w:hAnsi="宋体" w:eastAsia="宋体"/>
          <w:sz w:val="18"/>
          <w:szCs w:val="18"/>
          <w:lang w:eastAsia="zh-CN"/>
        </w:rPr>
        <w:t>升级</w:t>
      </w:r>
      <w:r>
        <w:rPr>
          <w:rFonts w:ascii="宋体" w:hAnsi="宋体" w:eastAsia="宋体"/>
          <w:sz w:val="18"/>
          <w:szCs w:val="18"/>
        </w:rPr>
        <w:t>管理</w:t>
      </w:r>
      <w:r>
        <w:rPr>
          <w:rFonts w:hint="eastAsia" w:ascii="宋体" w:hAnsi="宋体" w:eastAsia="宋体"/>
          <w:sz w:val="18"/>
          <w:szCs w:val="18"/>
        </w:rPr>
        <w:t>制度》</w:t>
      </w:r>
      <w:r>
        <w:rPr>
          <w:rFonts w:ascii="宋体" w:hAnsi="宋体" w:eastAsia="宋体"/>
          <w:sz w:val="18"/>
          <w:szCs w:val="18"/>
        </w:rPr>
        <w:t>A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ZP</w:t>
      </w:r>
      <w:r>
        <w:rPr>
          <w:rFonts w:ascii="宋体" w:hAnsi="宋体" w:eastAsia="宋体"/>
          <w:sz w:val="18"/>
          <w:szCs w:val="18"/>
        </w:rPr>
        <w:t>-Q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C-ITS</w:t>
      </w:r>
      <w:r>
        <w:rPr>
          <w:rFonts w:ascii="宋体" w:hAnsi="宋体" w:eastAsia="宋体"/>
          <w:sz w:val="18"/>
          <w:szCs w:val="18"/>
        </w:rPr>
        <w:t>-0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5</w:t>
      </w:r>
      <w:r>
        <w:rPr>
          <w:rFonts w:hint="eastAsia" w:ascii="宋体" w:hAnsi="宋体" w:eastAsia="宋体"/>
          <w:sz w:val="18"/>
          <w:szCs w:val="18"/>
        </w:rPr>
        <w:t xml:space="preserve"> ；</w:t>
      </w:r>
      <w:r>
        <w:rPr>
          <w:rFonts w:hint="eastAsia" w:ascii="宋体" w:hAnsi="宋体" w:eastAsia="宋体"/>
          <w:color w:val="FF0000"/>
          <w:sz w:val="18"/>
          <w:szCs w:val="18"/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1、适用部门：</w:t>
      </w:r>
      <w:r>
        <w:rPr>
          <w:rFonts w:hint="eastAsia" w:ascii="宋体" w:hAnsi="宋体" w:eastAsia="宋体"/>
          <w:sz w:val="18"/>
          <w:szCs w:val="18"/>
          <w:lang w:eastAsia="zh-CN"/>
        </w:rPr>
        <w:t>互联网</w:t>
      </w:r>
      <w:r>
        <w:rPr>
          <w:rFonts w:hint="eastAsia" w:ascii="宋体" w:hAnsi="宋体" w:eastAsia="宋体"/>
          <w:sz w:val="18"/>
          <w:szCs w:val="18"/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</w:pPr>
      <w:r>
        <w:rPr>
          <w:rFonts w:hint="eastAsia" w:ascii="宋体" w:hAnsi="宋体" w:eastAsia="宋体"/>
          <w:color w:val="000000"/>
          <w:sz w:val="18"/>
          <w:szCs w:val="18"/>
        </w:rPr>
        <w:t>2、使用</w:t>
      </w:r>
      <w:r>
        <w:rPr>
          <w:rFonts w:ascii="宋体" w:hAnsi="宋体" w:eastAsia="宋体"/>
          <w:color w:val="000000"/>
          <w:sz w:val="18"/>
          <w:szCs w:val="18"/>
        </w:rPr>
        <w:t>范围：</w:t>
      </w:r>
      <w:r>
        <w:rPr>
          <w:rFonts w:hint="eastAsia" w:ascii="宋体" w:hAnsi="宋体" w:eastAsia="宋体"/>
          <w:color w:val="000000"/>
          <w:sz w:val="18"/>
          <w:szCs w:val="18"/>
        </w:rPr>
        <w:t>适用</w:t>
      </w:r>
      <w:r>
        <w:rPr>
          <w:rFonts w:ascii="宋体" w:hAnsi="宋体" w:eastAsia="宋体"/>
          <w:color w:val="000000"/>
          <w:sz w:val="18"/>
          <w:szCs w:val="18"/>
        </w:rPr>
        <w:t>于</w:t>
      </w:r>
      <w:r>
        <w:rPr>
          <w:rFonts w:hint="eastAsia" w:ascii="宋体" w:hAnsi="宋体" w:eastAsia="宋体"/>
          <w:color w:val="000000"/>
          <w:sz w:val="18"/>
          <w:szCs w:val="18"/>
          <w:lang w:eastAsia="zh-CN"/>
        </w:rPr>
        <w:t>项目升级和平台升级</w:t>
      </w:r>
      <w:r>
        <w:rPr>
          <w:rFonts w:hint="eastAsia" w:ascii="宋体" w:hAnsi="宋体" w:eastAsia="宋体"/>
          <w:color w:val="000000"/>
          <w:sz w:val="18"/>
          <w:szCs w:val="18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8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5978"/>
    <w:rsid w:val="01D40357"/>
    <w:rsid w:val="02495F62"/>
    <w:rsid w:val="027C66C0"/>
    <w:rsid w:val="0344272D"/>
    <w:rsid w:val="03FD1CE9"/>
    <w:rsid w:val="04645BF4"/>
    <w:rsid w:val="09673C37"/>
    <w:rsid w:val="0AF67FF8"/>
    <w:rsid w:val="0CB978A2"/>
    <w:rsid w:val="0D576E44"/>
    <w:rsid w:val="102F1168"/>
    <w:rsid w:val="108F7775"/>
    <w:rsid w:val="109D11D1"/>
    <w:rsid w:val="113D716E"/>
    <w:rsid w:val="11A12332"/>
    <w:rsid w:val="129C3E00"/>
    <w:rsid w:val="12F068EC"/>
    <w:rsid w:val="14B4620E"/>
    <w:rsid w:val="17265D73"/>
    <w:rsid w:val="18712301"/>
    <w:rsid w:val="1A727C25"/>
    <w:rsid w:val="1BEC759F"/>
    <w:rsid w:val="1DDA3748"/>
    <w:rsid w:val="219F2810"/>
    <w:rsid w:val="21C4374A"/>
    <w:rsid w:val="22F17452"/>
    <w:rsid w:val="23170254"/>
    <w:rsid w:val="23D46295"/>
    <w:rsid w:val="240B1C3D"/>
    <w:rsid w:val="250856B2"/>
    <w:rsid w:val="2A0744CE"/>
    <w:rsid w:val="2BEC56BB"/>
    <w:rsid w:val="2C8A5069"/>
    <w:rsid w:val="2CCC4F2E"/>
    <w:rsid w:val="2CD15586"/>
    <w:rsid w:val="2CD35AB2"/>
    <w:rsid w:val="2EC21167"/>
    <w:rsid w:val="31461C0E"/>
    <w:rsid w:val="324C7B93"/>
    <w:rsid w:val="32E96282"/>
    <w:rsid w:val="33863C2F"/>
    <w:rsid w:val="344606E8"/>
    <w:rsid w:val="375B53DF"/>
    <w:rsid w:val="38FA3E23"/>
    <w:rsid w:val="392A2143"/>
    <w:rsid w:val="3C4921D4"/>
    <w:rsid w:val="3C4A6DC3"/>
    <w:rsid w:val="3D8646EA"/>
    <w:rsid w:val="3EAB7C02"/>
    <w:rsid w:val="3F6860C0"/>
    <w:rsid w:val="404F4790"/>
    <w:rsid w:val="40827F45"/>
    <w:rsid w:val="445F33DB"/>
    <w:rsid w:val="451435DC"/>
    <w:rsid w:val="45F627DA"/>
    <w:rsid w:val="46BC11D2"/>
    <w:rsid w:val="476B4809"/>
    <w:rsid w:val="48CC5FBD"/>
    <w:rsid w:val="49973686"/>
    <w:rsid w:val="4A2654F5"/>
    <w:rsid w:val="4B4719A7"/>
    <w:rsid w:val="4BC97D42"/>
    <w:rsid w:val="51F82F84"/>
    <w:rsid w:val="52521D8A"/>
    <w:rsid w:val="53506F14"/>
    <w:rsid w:val="5428769D"/>
    <w:rsid w:val="54A228D1"/>
    <w:rsid w:val="57002209"/>
    <w:rsid w:val="5A0C0581"/>
    <w:rsid w:val="5B390F85"/>
    <w:rsid w:val="5C320453"/>
    <w:rsid w:val="5C7E367F"/>
    <w:rsid w:val="5D0B7BC8"/>
    <w:rsid w:val="5DF65AD7"/>
    <w:rsid w:val="5E8C2399"/>
    <w:rsid w:val="5F08110B"/>
    <w:rsid w:val="5FBA76E2"/>
    <w:rsid w:val="60091C50"/>
    <w:rsid w:val="633D15E0"/>
    <w:rsid w:val="65E42817"/>
    <w:rsid w:val="67214F67"/>
    <w:rsid w:val="672627B7"/>
    <w:rsid w:val="67B027BB"/>
    <w:rsid w:val="684122E4"/>
    <w:rsid w:val="692C3AE6"/>
    <w:rsid w:val="69B03345"/>
    <w:rsid w:val="6A575973"/>
    <w:rsid w:val="6D375F7C"/>
    <w:rsid w:val="6E34390F"/>
    <w:rsid w:val="6E347500"/>
    <w:rsid w:val="6FDD2C13"/>
    <w:rsid w:val="701109F1"/>
    <w:rsid w:val="71644F8B"/>
    <w:rsid w:val="739211E1"/>
    <w:rsid w:val="75452240"/>
    <w:rsid w:val="75951D8A"/>
    <w:rsid w:val="78997D60"/>
    <w:rsid w:val="78F0092F"/>
    <w:rsid w:val="796B5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9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2018-09-26T09:12:16Z</cp:lastPrinted>
  <dcterms:modified xsi:type="dcterms:W3CDTF">2018-09-26T09:24:27Z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