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紧急修复类任务单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4"/>
        <w:gridCol w:w="1134"/>
        <w:gridCol w:w="215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项目名称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需执行时间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修复内容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【</w:t>
            </w:r>
            <w:r>
              <w:rPr>
                <w:rFonts w:ascii="微软雅黑" w:hAnsi="微软雅黑" w:eastAsia="微软雅黑"/>
                <w:i/>
                <w:color w:val="0070C0"/>
                <w:lang w:eastAsia="zh-CN"/>
              </w:rPr>
              <w:t>描述本次修复的问题</w:t>
            </w: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】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可能存在的风险及</w:t>
            </w:r>
          </w:p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应对措施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验证说明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【验证人员填写验证情况】</w:t>
            </w: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250" w:firstLineChars="1300"/>
              <w:jc w:val="both"/>
              <w:rPr>
                <w:rFonts w:hint="eastAsia" w:ascii="微软雅黑" w:hAnsi="微软雅黑" w:eastAsia="微软雅黑"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签名：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[运维人员填写，填写执行的结果和执行的情形]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250" w:firstLineChars="1300"/>
              <w:jc w:val="both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签名：       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83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6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研发部开发负责人：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研发部审核人：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运维部负责人：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验证人：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</w:tbl>
    <w:p>
      <w:pPr>
        <w:ind w:left="0" w:leftChars="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2、使用范围：适用于项目升级后紧急问题修复（修复bug/修改配置/调整参数）等。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0010F96"/>
    <w:rsid w:val="00075A3B"/>
    <w:rsid w:val="002B4B04"/>
    <w:rsid w:val="0034189D"/>
    <w:rsid w:val="003B40AB"/>
    <w:rsid w:val="003F0F3A"/>
    <w:rsid w:val="00412820"/>
    <w:rsid w:val="0043619F"/>
    <w:rsid w:val="004A387B"/>
    <w:rsid w:val="005800B8"/>
    <w:rsid w:val="005A2E5F"/>
    <w:rsid w:val="005C434B"/>
    <w:rsid w:val="006131C8"/>
    <w:rsid w:val="00651C1F"/>
    <w:rsid w:val="00672CBE"/>
    <w:rsid w:val="00677E98"/>
    <w:rsid w:val="00777B9C"/>
    <w:rsid w:val="007D492A"/>
    <w:rsid w:val="0081674C"/>
    <w:rsid w:val="008F3140"/>
    <w:rsid w:val="009217CE"/>
    <w:rsid w:val="00962698"/>
    <w:rsid w:val="009F75A1"/>
    <w:rsid w:val="00AC26F8"/>
    <w:rsid w:val="00BC64D2"/>
    <w:rsid w:val="00C35290"/>
    <w:rsid w:val="00CB30E8"/>
    <w:rsid w:val="00D00D71"/>
    <w:rsid w:val="00D01E23"/>
    <w:rsid w:val="00D07B46"/>
    <w:rsid w:val="00DB7038"/>
    <w:rsid w:val="00DC3543"/>
    <w:rsid w:val="00DF4CE3"/>
    <w:rsid w:val="089218D9"/>
    <w:rsid w:val="0CB978A2"/>
    <w:rsid w:val="0D576E44"/>
    <w:rsid w:val="14B4620E"/>
    <w:rsid w:val="1DDA3748"/>
    <w:rsid w:val="36FA5F39"/>
    <w:rsid w:val="373E5FE3"/>
    <w:rsid w:val="38FA3E23"/>
    <w:rsid w:val="445F33DB"/>
    <w:rsid w:val="448464B5"/>
    <w:rsid w:val="48796B9E"/>
    <w:rsid w:val="496B3EF7"/>
    <w:rsid w:val="52521D8A"/>
    <w:rsid w:val="599641D3"/>
    <w:rsid w:val="689305D3"/>
    <w:rsid w:val="69B03345"/>
    <w:rsid w:val="6E34390F"/>
    <w:rsid w:val="6E347500"/>
    <w:rsid w:val="79635AB7"/>
    <w:rsid w:val="7AA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0</TotalTime>
  <ScaleCrop>false</ScaleCrop>
  <LinksUpToDate>false</LinksUpToDate>
  <CharactersWithSpaces>380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Penny</cp:lastModifiedBy>
  <cp:lastPrinted>2018-07-10T05:58:00Z</cp:lastPrinted>
  <dcterms:modified xsi:type="dcterms:W3CDTF">2018-07-25T01:21:54Z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