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VEMS V2.14新增功能点</w:t>
      </w:r>
    </w:p>
    <w:p>
      <w:pPr>
        <w:jc w:val="left"/>
        <w:rPr>
          <w:rFonts w:hint="eastAsia" w:ascii="黑体" w:hAnsi="黑体" w:eastAsia="黑体" w:cs="黑体"/>
          <w:sz w:val="32"/>
          <w:szCs w:val="32"/>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增加电子发票功能</w:t>
      </w:r>
    </w:p>
    <w:p>
      <w:pPr>
        <w:numPr>
          <w:ilvl w:val="0"/>
          <w:numId w:val="2"/>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VEMS-进出场管理-发票开具流水</w:t>
      </w:r>
    </w:p>
    <w:p>
      <w:pPr>
        <w:numPr>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849245"/>
            <wp:effectExtent l="0" t="0" r="3175" b="8255"/>
            <wp:docPr id="21" name="图片 21" descr="发票开具流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发票开具流水"/>
                    <pic:cNvPicPr>
                      <a:picLocks noChangeAspect="1"/>
                    </pic:cNvPicPr>
                  </pic:nvPicPr>
                  <pic:blipFill>
                    <a:blip r:embed="rId4"/>
                    <a:stretch>
                      <a:fillRect/>
                    </a:stretch>
                  </pic:blipFill>
                  <pic:spPr>
                    <a:xfrm>
                      <a:off x="0" y="0"/>
                      <a:ext cx="6181725" cy="2849245"/>
                    </a:xfrm>
                    <a:prstGeom prst="rect">
                      <a:avLst/>
                    </a:prstGeom>
                  </pic:spPr>
                </pic:pic>
              </a:graphicData>
            </a:graphic>
          </wp:inline>
        </w:drawing>
      </w:r>
    </w:p>
    <w:p>
      <w:pPr>
        <w:numPr>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849245"/>
            <wp:effectExtent l="0" t="0" r="3175" b="8255"/>
            <wp:docPr id="22" name="图片 22" descr="发票开具流水-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发票开具流水-收费详情"/>
                    <pic:cNvPicPr>
                      <a:picLocks noChangeAspect="1"/>
                    </pic:cNvPicPr>
                  </pic:nvPicPr>
                  <pic:blipFill>
                    <a:blip r:embed="rId5"/>
                    <a:stretch>
                      <a:fillRect/>
                    </a:stretch>
                  </pic:blipFill>
                  <pic:spPr>
                    <a:xfrm>
                      <a:off x="0" y="0"/>
                      <a:ext cx="6181725" cy="2849245"/>
                    </a:xfrm>
                    <a:prstGeom prst="rect">
                      <a:avLst/>
                    </a:prstGeom>
                  </pic:spPr>
                </pic:pic>
              </a:graphicData>
            </a:graphic>
          </wp:inline>
        </w:drawing>
      </w:r>
    </w:p>
    <w:p>
      <w:pPr>
        <w:numPr>
          <w:numId w:val="0"/>
        </w:numPr>
        <w:jc w:val="left"/>
        <w:rPr>
          <w:rFonts w:hint="eastAsia" w:ascii="黑体" w:hAnsi="黑体" w:eastAsia="黑体" w:cs="黑体"/>
          <w:sz w:val="28"/>
          <w:szCs w:val="28"/>
          <w:lang w:val="en-US" w:eastAsia="zh-CN"/>
        </w:rPr>
      </w:pPr>
    </w:p>
    <w:p>
      <w:pPr>
        <w:numPr>
          <w:ilvl w:val="0"/>
          <w:numId w:val="2"/>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VEMS-报表管理-发票统计报表</w:t>
      </w:r>
    </w:p>
    <w:p>
      <w:pPr>
        <w:numPr>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849245"/>
            <wp:effectExtent l="0" t="0" r="3175" b="8255"/>
            <wp:docPr id="23" name="图片 23" descr="发票统计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发票统计报表"/>
                    <pic:cNvPicPr>
                      <a:picLocks noChangeAspect="1"/>
                    </pic:cNvPicPr>
                  </pic:nvPicPr>
                  <pic:blipFill>
                    <a:blip r:embed="rId6"/>
                    <a:stretch>
                      <a:fillRect/>
                    </a:stretch>
                  </pic:blipFill>
                  <pic:spPr>
                    <a:xfrm>
                      <a:off x="0" y="0"/>
                      <a:ext cx="6181725" cy="2849245"/>
                    </a:xfrm>
                    <a:prstGeom prst="rect">
                      <a:avLst/>
                    </a:prstGeom>
                  </pic:spPr>
                </pic:pic>
              </a:graphicData>
            </a:graphic>
          </wp:inline>
        </w:drawing>
      </w:r>
    </w:p>
    <w:p>
      <w:pPr>
        <w:numPr>
          <w:numId w:val="0"/>
        </w:numPr>
        <w:jc w:val="left"/>
        <w:rPr>
          <w:rFonts w:hint="eastAsia" w:ascii="黑体" w:hAnsi="黑体" w:eastAsia="黑体" w:cs="黑体"/>
          <w:sz w:val="28"/>
          <w:szCs w:val="28"/>
          <w:lang w:val="en-US" w:eastAsia="zh-CN"/>
        </w:rPr>
      </w:pPr>
    </w:p>
    <w:p>
      <w:pPr>
        <w:numPr>
          <w:ilvl w:val="0"/>
          <w:numId w:val="2"/>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VEMS-后台管理-支付配置-发票二维码配置</w:t>
      </w:r>
    </w:p>
    <w:p>
      <w:pPr>
        <w:numPr>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849245"/>
            <wp:effectExtent l="0" t="0" r="3175" b="8255"/>
            <wp:docPr id="24" name="图片 24" descr="支付二维码配置-发票二维码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支付二维码配置-发票二维码配置"/>
                    <pic:cNvPicPr>
                      <a:picLocks noChangeAspect="1"/>
                    </pic:cNvPicPr>
                  </pic:nvPicPr>
                  <pic:blipFill>
                    <a:blip r:embed="rId7"/>
                    <a:stretch>
                      <a:fillRect/>
                    </a:stretch>
                  </pic:blipFill>
                  <pic:spPr>
                    <a:xfrm>
                      <a:off x="0" y="0"/>
                      <a:ext cx="6181725" cy="2849245"/>
                    </a:xfrm>
                    <a:prstGeom prst="rect">
                      <a:avLst/>
                    </a:prstGeom>
                  </pic:spPr>
                </pic:pic>
              </a:graphicData>
            </a:graphic>
          </wp:inline>
        </w:drawing>
      </w:r>
    </w:p>
    <w:p>
      <w:pPr>
        <w:numPr>
          <w:numId w:val="0"/>
        </w:numPr>
        <w:jc w:val="left"/>
        <w:rPr>
          <w:rFonts w:hint="eastAsia" w:ascii="黑体" w:hAnsi="黑体" w:eastAsia="黑体" w:cs="黑体"/>
          <w:sz w:val="28"/>
          <w:szCs w:val="28"/>
          <w:lang w:val="en-US" w:eastAsia="zh-CN"/>
        </w:rPr>
      </w:pPr>
    </w:p>
    <w:p>
      <w:pPr>
        <w:numPr>
          <w:ilvl w:val="0"/>
          <w:numId w:val="2"/>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SPTS-缴费凭条打印/补缴凭条打印</w:t>
      </w:r>
    </w:p>
    <w:p>
      <w:pPr>
        <w:numPr>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仅针对凭条打印</w:t>
      </w:r>
    </w:p>
    <w:p>
      <w:pPr>
        <w:numPr>
          <w:ilvl w:val="0"/>
          <w:numId w:val="2"/>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CTS-缴费凭条打印/补缴凭条打印</w:t>
      </w:r>
    </w:p>
    <w:p>
      <w:pPr>
        <w:numPr>
          <w:ilvl w:val="0"/>
          <w:numId w:val="0"/>
        </w:numPr>
        <w:jc w:val="left"/>
        <w:rPr>
          <w:rFonts w:hint="eastAsia" w:ascii="黑体" w:hAnsi="黑体" w:eastAsia="黑体" w:cs="黑体"/>
          <w:sz w:val="28"/>
          <w:szCs w:val="28"/>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增加多位多车显示在场车辆</w:t>
      </w:r>
    </w:p>
    <w:p>
      <w:pPr>
        <w:widowControl w:val="0"/>
        <w:numPr>
          <w:ilvl w:val="0"/>
          <w:numId w:val="0"/>
        </w:numPr>
        <w:spacing w:line="360" w:lineRule="auto"/>
        <w:ind w:firstLine="48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bCs w:val="0"/>
          <w:kern w:val="2"/>
          <w:sz w:val="24"/>
          <w:szCs w:val="24"/>
          <w:lang w:val="en-US" w:eastAsia="zh-CN" w:bidi="ar-SA"/>
        </w:rPr>
        <w:t>多位多车（剩/总）</w:t>
      </w:r>
      <w:r>
        <w:rPr>
          <w:rFonts w:hint="eastAsia" w:ascii="微软雅黑" w:hAnsi="微软雅黑" w:eastAsia="微软雅黑" w:cs="微软雅黑"/>
          <w:b w:val="0"/>
          <w:bCs/>
          <w:kern w:val="2"/>
          <w:sz w:val="24"/>
          <w:szCs w:val="24"/>
          <w:lang w:val="en-US" w:eastAsia="zh-CN" w:bidi="ar-SA"/>
        </w:rPr>
        <w:t>：展示该条VIP的多位多车情况，当剩余车位﹤总车位（即已有VIP车辆在场）时，点击可查看当前已在场的VIP车辆信息。</w:t>
      </w:r>
    </w:p>
    <w:p>
      <w:pPr>
        <w:widowControl w:val="0"/>
        <w:numPr>
          <w:ilvl w:val="0"/>
          <w:numId w:val="0"/>
        </w:numPr>
        <w:spacing w:line="360" w:lineRule="auto"/>
        <w:jc w:val="center"/>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drawing>
          <wp:inline distT="0" distB="0" distL="114300" distR="114300">
            <wp:extent cx="6181725" cy="2849245"/>
            <wp:effectExtent l="0" t="0" r="3175" b="8255"/>
            <wp:docPr id="243" name="图片 243" descr="VIP开通续费-在场VIP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VIP开通续费-在场VIP车辆"/>
                    <pic:cNvPicPr>
                      <a:picLocks noChangeAspect="1"/>
                    </pic:cNvPicPr>
                  </pic:nvPicPr>
                  <pic:blipFill>
                    <a:blip r:embed="rId8"/>
                    <a:stretch>
                      <a:fillRect/>
                    </a:stretch>
                  </pic:blipFill>
                  <pic:spPr>
                    <a:xfrm>
                      <a:off x="0" y="0"/>
                      <a:ext cx="6181725" cy="2849245"/>
                    </a:xfrm>
                    <a:prstGeom prst="rect">
                      <a:avLst/>
                    </a:prstGeom>
                  </pic:spPr>
                </pic:pic>
              </a:graphicData>
            </a:graphic>
          </wp:inline>
        </w:drawing>
      </w:r>
    </w:p>
    <w:p>
      <w:pPr>
        <w:numPr>
          <w:ilvl w:val="0"/>
          <w:numId w:val="0"/>
        </w:numPr>
        <w:jc w:val="left"/>
        <w:rPr>
          <w:rFonts w:hint="eastAsia" w:ascii="黑体" w:hAnsi="黑体" w:eastAsia="黑体" w:cs="黑体"/>
          <w:sz w:val="32"/>
          <w:szCs w:val="32"/>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收费流水显示一点停通用券</w:t>
      </w:r>
    </w:p>
    <w:p>
      <w:pPr>
        <w:widowControl w:val="0"/>
        <w:numPr>
          <w:ilvl w:val="0"/>
          <w:numId w:val="0"/>
        </w:numPr>
        <w:spacing w:line="360" w:lineRule="auto"/>
        <w:ind w:firstLine="560" w:firstLineChars="200"/>
        <w:jc w:val="both"/>
        <w:rPr>
          <w:rFonts w:hint="eastAsia" w:ascii="黑体" w:hAnsi="黑体" w:eastAsia="黑体" w:cs="黑体"/>
          <w:sz w:val="32"/>
          <w:szCs w:val="32"/>
          <w:lang w:val="en-US" w:eastAsia="zh-CN"/>
        </w:rPr>
      </w:pPr>
      <w:r>
        <w:rPr>
          <w:rFonts w:hint="eastAsia" w:ascii="微软雅黑" w:hAnsi="微软雅黑" w:eastAsia="微软雅黑" w:cs="微软雅黑"/>
          <w:b w:val="0"/>
          <w:bCs/>
          <w:kern w:val="2"/>
          <w:sz w:val="28"/>
          <w:szCs w:val="28"/>
          <w:lang w:val="en-US" w:eastAsia="zh-CN" w:bidi="ar-SA"/>
        </w:rPr>
        <w:t>进出场管理-收费流水-优惠类型增加显示了一点停通用券。</w:t>
      </w:r>
    </w:p>
    <w:p>
      <w:pPr>
        <w:numPr>
          <w:ilvl w:val="0"/>
          <w:numId w:val="0"/>
        </w:numPr>
        <w:jc w:val="left"/>
      </w:pPr>
      <w:r>
        <w:drawing>
          <wp:inline distT="0" distB="0" distL="114300" distR="114300">
            <wp:extent cx="6181725" cy="2849245"/>
            <wp:effectExtent l="0" t="0" r="3175"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9"/>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实现VIP满位控制需求</w:t>
      </w:r>
    </w:p>
    <w:p>
      <w:pPr>
        <w:numPr>
          <w:ilvl w:val="0"/>
          <w:numId w:val="3"/>
        </w:numPr>
        <w:ind w:left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增加VIP满位放行模式的选择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现有VIP满位控制场景：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如果开启了VIP满位控制，VIP满位时，同组VIP车辆不能进入，若收费员手动放行，也按VIP车辆进场计费。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V2.14版本：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增加VIP类型-满位控制-VIP满位放行模式，开启VIP满位控制，VIP满位时，VIP满位放行模式给予停车场三种选择：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（1）系统有空位自动放行，无空位手动放行按VIP计费（系统默认此项选择）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释义：与现有VIP满位控制场景一致，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A、VIP满位时，同组VIP车辆不能进入；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B、当满位到有剩余时，同组VIP车辆可进入，按通道VIP模式以VIP身份进入；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C、未解除满位控制时，收费员手动放行时，该车同样以VIP身份进入。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（2）系统有空位自动放行，无空位手动放行按临时车计费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释义：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A、VIP满位时，同组VIP车辆不能进入；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B、当满位到有剩余时，同组VIP车辆可进入，按通道VIP模式以VIP身份进入；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C、未解除满位控制时，收费员手动放行时，该车以临时车身份进入，按临时车进场计费；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D、以临时车身份进去后，VIP满位到剩余，出场时仍以临时车身份出场。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（3）系统无空位自动放行，按临时车计费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释义：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A、VIP满位时，系统自动/手动放行，直接以临时车身份进场，按临时车进场计费。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B、以临时车身份进去后，VIP满位到剩余，出场时仍以临时车身份出场。</w:t>
      </w:r>
    </w:p>
    <w:p>
      <w:pPr>
        <w:numPr>
          <w:numId w:val="0"/>
        </w:numPr>
        <w:jc w:val="left"/>
      </w:pPr>
      <w:r>
        <w:drawing>
          <wp:inline distT="0" distB="0" distL="114300" distR="114300">
            <wp:extent cx="6181725" cy="2849245"/>
            <wp:effectExtent l="0" t="0" r="3175"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6181725" cy="2849245"/>
                    </a:xfrm>
                    <a:prstGeom prst="rect">
                      <a:avLst/>
                    </a:prstGeom>
                    <a:noFill/>
                    <a:ln w="9525">
                      <a:noFill/>
                    </a:ln>
                  </pic:spPr>
                </pic:pic>
              </a:graphicData>
            </a:graphic>
          </wp:inline>
        </w:drawing>
      </w:r>
    </w:p>
    <w:p>
      <w:pPr>
        <w:numPr>
          <w:numId w:val="0"/>
        </w:numPr>
        <w:jc w:val="left"/>
        <w:rPr>
          <w:rFonts w:hint="eastAsia"/>
          <w:lang w:val="en-US" w:eastAsia="zh-CN"/>
        </w:rPr>
      </w:pPr>
    </w:p>
    <w:p>
      <w:pPr>
        <w:numPr>
          <w:ilvl w:val="0"/>
          <w:numId w:val="3"/>
        </w:numPr>
        <w:ind w:left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增加VIP满位转临时车显示及语音播报</w:t>
      </w:r>
    </w:p>
    <w:p>
      <w:pPr>
        <w:numPr>
          <w:numId w:val="0"/>
        </w:numPr>
        <w:jc w:val="left"/>
      </w:pPr>
      <w:r>
        <w:drawing>
          <wp:inline distT="0" distB="0" distL="114300" distR="114300">
            <wp:extent cx="6181725" cy="2849245"/>
            <wp:effectExtent l="0" t="0" r="3175"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6181725" cy="2849245"/>
                    </a:xfrm>
                    <a:prstGeom prst="rect">
                      <a:avLst/>
                    </a:prstGeom>
                    <a:noFill/>
                    <a:ln w="9525">
                      <a:noFill/>
                    </a:ln>
                  </pic:spPr>
                </pic:pic>
              </a:graphicData>
            </a:graphic>
          </wp:inline>
        </w:drawing>
      </w:r>
    </w:p>
    <w:p>
      <w:pPr>
        <w:numPr>
          <w:numId w:val="0"/>
        </w:numPr>
        <w:jc w:val="left"/>
      </w:pPr>
    </w:p>
    <w:p>
      <w:pPr>
        <w:numPr>
          <w:numId w:val="0"/>
        </w:numPr>
        <w:jc w:val="left"/>
        <w:rPr>
          <w:rFonts w:hint="eastAsia"/>
          <w:lang w:val="en-US" w:eastAsia="zh-CN"/>
        </w:rPr>
      </w:pPr>
    </w:p>
    <w:p>
      <w:pPr>
        <w:numPr>
          <w:ilvl w:val="0"/>
          <w:numId w:val="3"/>
        </w:numPr>
        <w:ind w:left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增加VIP满位转临时车的进出场说明</w:t>
      </w:r>
    </w:p>
    <w:p>
      <w:pPr>
        <w:numPr>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29" o:spt="75" type="#_x0000_t75" style="height:65.5pt;width:72.5pt;" o:ole="t" filled="f" o:preferrelative="t" stroked="f" coordsize="21600,21600">
            <v:fill on="f" focussize="0,0"/>
            <v:stroke on="f"/>
            <v:imagedata r:id="rId13" o:title=""/>
            <o:lock v:ext="edit" aspectratio="t"/>
            <w10:wrap type="none"/>
            <w10:anchorlock/>
          </v:shape>
          <o:OLEObject Type="Embed" ProgID="Excel.Sheet.8" ShapeID="_x0000_i1029" DrawAspect="Icon" ObjectID="_1468075725" r:id="rId12">
            <o:LockedField>false</o:LockedField>
          </o:OLEObject>
        </w:object>
      </w:r>
    </w:p>
    <w:p>
      <w:pPr>
        <w:numPr>
          <w:numId w:val="0"/>
        </w:numPr>
        <w:jc w:val="left"/>
      </w:pPr>
      <w:r>
        <w:drawing>
          <wp:inline distT="0" distB="0" distL="114300" distR="114300">
            <wp:extent cx="6181725" cy="2849245"/>
            <wp:effectExtent l="0" t="0" r="317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4"/>
                    <a:stretch>
                      <a:fillRect/>
                    </a:stretch>
                  </pic:blipFill>
                  <pic:spPr>
                    <a:xfrm>
                      <a:off x="0" y="0"/>
                      <a:ext cx="6181725" cy="2849245"/>
                    </a:xfrm>
                    <a:prstGeom prst="rect">
                      <a:avLst/>
                    </a:prstGeom>
                    <a:noFill/>
                    <a:ln w="9525">
                      <a:noFill/>
                    </a:ln>
                  </pic:spPr>
                </pic:pic>
              </a:graphicData>
            </a:graphic>
          </wp:inline>
        </w:drawing>
      </w:r>
    </w:p>
    <w:p>
      <w:pPr>
        <w:numPr>
          <w:numId w:val="0"/>
        </w:numPr>
        <w:jc w:val="left"/>
      </w:pPr>
    </w:p>
    <w:p>
      <w:pPr>
        <w:numPr>
          <w:numId w:val="0"/>
        </w:numPr>
        <w:jc w:val="left"/>
        <w:rPr>
          <w:rFonts w:hint="eastAsia"/>
          <w:lang w:val="en-US" w:eastAsia="zh-CN"/>
        </w:rPr>
      </w:pPr>
    </w:p>
    <w:p>
      <w:pPr>
        <w:numPr>
          <w:ilvl w:val="0"/>
          <w:numId w:val="3"/>
        </w:numPr>
        <w:ind w:leftChars="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岗亭端增加VIP满位转临时车的提示</w:t>
      </w:r>
    </w:p>
    <w:p>
      <w:pPr>
        <w:numPr>
          <w:ilvl w:val="0"/>
          <w:numId w:val="0"/>
        </w:numPr>
        <w:jc w:val="left"/>
      </w:pPr>
      <w:r>
        <w:drawing>
          <wp:inline distT="0" distB="0" distL="114300" distR="114300">
            <wp:extent cx="6186805" cy="2854960"/>
            <wp:effectExtent l="0" t="0" r="10795" b="254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5"/>
                    <a:stretch>
                      <a:fillRect/>
                    </a:stretch>
                  </pic:blipFill>
                  <pic:spPr>
                    <a:xfrm>
                      <a:off x="0" y="0"/>
                      <a:ext cx="6186805" cy="285496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通道触发事件增加针对停车记录选项</w:t>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通道触发事件指车辆在满足特定触发条件的情况下，通道发送一张优惠券绑定在车牌/卡/票号或停车记录上，即通道自动发券。该券在下次经过结算通道时生效，并自动按照使用规则自动使用。</w:t>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优惠券的发放可以选择绑定车牌/卡票号，也可以选择绑定停车记录。绑定在车牌上，发券后可离场下回进场时使用；无牌车绑定在卡/票号上，只能进场时领券出场时使用；绑定在停车记录上时，该券针对整次停车有效，即进场时领券出场时使用。</w:t>
      </w:r>
    </w:p>
    <w:p>
      <w:pPr>
        <w:widowControl w:val="0"/>
        <w:numPr>
          <w:ilvl w:val="0"/>
          <w:numId w:val="0"/>
        </w:numPr>
        <w:spacing w:line="360" w:lineRule="auto"/>
        <w:jc w:val="center"/>
      </w:pPr>
      <w:r>
        <w:drawing>
          <wp:inline distT="0" distB="0" distL="114300" distR="114300">
            <wp:extent cx="6181725" cy="28492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6181725" cy="2849245"/>
                    </a:xfrm>
                    <a:prstGeom prst="rect">
                      <a:avLst/>
                    </a:prstGeom>
                    <a:noFill/>
                    <a:ln w="9525">
                      <a:noFill/>
                    </a:ln>
                  </pic:spPr>
                </pic:pic>
              </a:graphicData>
            </a:graphic>
          </wp:inline>
        </w:drawing>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解决了哈工大穿行问题，例如检测到车辆从A口入B口出（算作穿行时，将使用通道触发事件计算系数）</w:t>
      </w:r>
    </w:p>
    <w:p>
      <w:pPr>
        <w:widowControl w:val="0"/>
        <w:numPr>
          <w:ilvl w:val="0"/>
          <w:numId w:val="0"/>
        </w:numPr>
        <w:spacing w:line="360" w:lineRule="auto"/>
        <w:ind w:firstLine="560" w:firstLineChars="200"/>
        <w:jc w:val="both"/>
        <w:rPr>
          <w:rFonts w:hint="eastAsia" w:eastAsiaTheme="minorEastAsia"/>
          <w:lang w:eastAsia="zh-CN"/>
        </w:rPr>
      </w:pPr>
      <w:r>
        <w:rPr>
          <w:rFonts w:hint="eastAsia" w:ascii="微软雅黑" w:hAnsi="微软雅黑" w:eastAsia="微软雅黑" w:cs="微软雅黑"/>
          <w:b w:val="0"/>
          <w:bCs/>
          <w:kern w:val="2"/>
          <w:sz w:val="28"/>
          <w:szCs w:val="28"/>
          <w:lang w:val="en-US" w:eastAsia="zh-CN" w:bidi="ar-SA"/>
        </w:rPr>
        <w:t>当车辆从A口进入，发放自动券，A口出去时（不触发自动券），该停车场有规则同门进出30分钟内不收费，此时车辆从B口进入，再从B口出去时，B口驶出距离A口进入时不超过30分钟，但是此时将触发A口进入时发放的自动券，将导致车辆不能享受从B口同门进出30分钟内免费的优惠。</w:t>
      </w:r>
    </w:p>
    <w:p>
      <w:pPr>
        <w:widowControl w:val="0"/>
        <w:numPr>
          <w:ilvl w:val="0"/>
          <w:numId w:val="0"/>
        </w:numPr>
        <w:spacing w:line="360" w:lineRule="auto"/>
        <w:jc w:val="center"/>
        <w:rPr>
          <w:rFonts w:hint="eastAsia" w:ascii="黑体" w:hAnsi="黑体" w:eastAsia="黑体" w:cs="黑体"/>
          <w:sz w:val="32"/>
          <w:szCs w:val="32"/>
          <w:lang w:val="en-US" w:eastAsia="zh-CN"/>
        </w:rPr>
      </w:pPr>
      <w:r>
        <w:rPr>
          <w:rFonts w:hint="eastAsia" w:eastAsiaTheme="minorEastAsia"/>
          <w:lang w:val="en-US" w:eastAsia="zh-CN"/>
        </w:rPr>
        <w:drawing>
          <wp:inline distT="0" distB="0" distL="114300" distR="114300">
            <wp:extent cx="4935855" cy="3949065"/>
            <wp:effectExtent l="0" t="0" r="4445" b="635"/>
            <wp:docPr id="10" name="图片 10" descr="通道触发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通道触发事件"/>
                    <pic:cNvPicPr>
                      <a:picLocks noChangeAspect="1"/>
                    </pic:cNvPicPr>
                  </pic:nvPicPr>
                  <pic:blipFill>
                    <a:blip r:embed="rId17"/>
                    <a:stretch>
                      <a:fillRect/>
                    </a:stretch>
                  </pic:blipFill>
                  <pic:spPr>
                    <a:xfrm>
                      <a:off x="0" y="0"/>
                      <a:ext cx="4935855" cy="3949065"/>
                    </a:xfrm>
                    <a:prstGeom prst="rect">
                      <a:avLst/>
                    </a:prstGeom>
                  </pic:spPr>
                </pic:pic>
              </a:graphicData>
            </a:graphic>
          </wp:inline>
        </w:drawing>
      </w: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非系统开闸显示放行操作员字段</w:t>
      </w:r>
    </w:p>
    <w:p>
      <w:pPr>
        <w:widowControl w:val="0"/>
        <w:numPr>
          <w:ilvl w:val="0"/>
          <w:numId w:val="0"/>
        </w:numPr>
        <w:spacing w:line="360" w:lineRule="auto"/>
        <w:ind w:firstLine="560" w:firstLineChars="200"/>
        <w:jc w:val="both"/>
        <w:rPr>
          <w:rFonts w:hint="eastAsia" w:ascii="黑体" w:hAnsi="黑体" w:eastAsia="黑体" w:cs="黑体"/>
          <w:sz w:val="32"/>
          <w:szCs w:val="32"/>
          <w:lang w:val="en-US" w:eastAsia="zh-CN"/>
        </w:rPr>
      </w:pPr>
      <w:r>
        <w:rPr>
          <w:rFonts w:hint="eastAsia" w:ascii="微软雅黑" w:hAnsi="微软雅黑" w:eastAsia="微软雅黑" w:cs="微软雅黑"/>
          <w:b w:val="0"/>
          <w:bCs/>
          <w:kern w:val="2"/>
          <w:sz w:val="28"/>
          <w:szCs w:val="28"/>
          <w:lang w:val="en-US" w:eastAsia="zh-CN" w:bidi="ar-SA"/>
        </w:rPr>
        <w:t>非系统开闸列表增加“放行操作员”字段，放行操作员记录了该条非系统开闸时刻该停车场处于登录状态的所有收费员的姓名；如当时无收费员登录，则将显示“无收费员登录”。</w:t>
      </w:r>
    </w:p>
    <w:p>
      <w:pPr>
        <w:numPr>
          <w:ilvl w:val="0"/>
          <w:numId w:val="0"/>
        </w:numPr>
        <w:jc w:val="left"/>
      </w:pPr>
      <w:r>
        <w:drawing>
          <wp:inline distT="0" distB="0" distL="114300" distR="114300">
            <wp:extent cx="6181725" cy="2849245"/>
            <wp:effectExtent l="0" t="0" r="3175"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报表管理-收费员报表区分非系统开闸</w:t>
      </w:r>
    </w:p>
    <w:p>
      <w:pPr>
        <w:widowControl w:val="0"/>
        <w:numPr>
          <w:ilvl w:val="0"/>
          <w:numId w:val="0"/>
        </w:numPr>
        <w:spacing w:line="360" w:lineRule="auto"/>
        <w:ind w:firstLine="560" w:firstLineChars="200"/>
        <w:jc w:val="both"/>
        <w:rPr>
          <w:rFonts w:hint="eastAsia" w:ascii="黑体" w:hAnsi="黑体" w:eastAsia="黑体" w:cs="黑体"/>
          <w:sz w:val="32"/>
          <w:szCs w:val="32"/>
          <w:lang w:val="en-US" w:eastAsia="zh-CN"/>
        </w:rPr>
      </w:pPr>
      <w:r>
        <w:rPr>
          <w:rFonts w:hint="eastAsia" w:ascii="微软雅黑" w:hAnsi="微软雅黑" w:eastAsia="微软雅黑" w:cs="微软雅黑"/>
          <w:b w:val="0"/>
          <w:bCs/>
          <w:kern w:val="2"/>
          <w:sz w:val="28"/>
          <w:szCs w:val="28"/>
          <w:lang w:val="en-US" w:eastAsia="zh-CN" w:bidi="ar-SA"/>
        </w:rPr>
        <w:t>将原来的“其他异常开闸数”改为“非系统开闸数”，并区分进出场的非系统开闸数。非系统开闸数包含了遥控开闸数和可疑跟车数。</w:t>
      </w:r>
    </w:p>
    <w:p>
      <w:pPr>
        <w:numPr>
          <w:ilvl w:val="0"/>
          <w:numId w:val="0"/>
        </w:numPr>
        <w:jc w:val="left"/>
      </w:pPr>
      <w:r>
        <w:drawing>
          <wp:inline distT="0" distB="0" distL="114300" distR="114300">
            <wp:extent cx="6181725" cy="2849245"/>
            <wp:effectExtent l="0" t="0" r="317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自助缴费机增加缴费机交易流水模块</w:t>
      </w:r>
    </w:p>
    <w:p>
      <w:pPr>
        <w:widowControl w:val="0"/>
        <w:numPr>
          <w:ilvl w:val="0"/>
          <w:numId w:val="0"/>
        </w:numPr>
        <w:spacing w:line="360" w:lineRule="auto"/>
        <w:ind w:firstLine="560" w:firstLineChars="200"/>
        <w:jc w:val="both"/>
        <w:rPr>
          <w:rFonts w:hint="eastAsia" w:ascii="黑体" w:hAnsi="黑体" w:eastAsia="黑体" w:cs="黑体"/>
          <w:sz w:val="32"/>
          <w:szCs w:val="32"/>
          <w:lang w:val="en-US" w:eastAsia="zh-CN"/>
        </w:rPr>
      </w:pPr>
      <w:r>
        <w:rPr>
          <w:rFonts w:hint="eastAsia" w:ascii="微软雅黑" w:hAnsi="微软雅黑" w:eastAsia="微软雅黑" w:cs="微软雅黑"/>
          <w:b w:val="0"/>
          <w:bCs/>
          <w:kern w:val="2"/>
          <w:sz w:val="28"/>
          <w:szCs w:val="28"/>
          <w:lang w:val="en-US" w:eastAsia="zh-CN" w:bidi="ar-SA"/>
        </w:rPr>
        <w:t>将自助缴费机模块增加了缴费机交易流水tab模块，可以查看车主使用自助缴费机的详细交易流水，包括应缴金额、缴付金额、找零金额、是否找零失败、应退金额等字段。</w:t>
      </w:r>
    </w:p>
    <w:p>
      <w:pPr>
        <w:numPr>
          <w:ilvl w:val="0"/>
          <w:numId w:val="0"/>
        </w:numPr>
        <w:jc w:val="left"/>
      </w:pPr>
      <w:r>
        <w:drawing>
          <wp:inline distT="0" distB="0" distL="114300" distR="114300">
            <wp:extent cx="6181725" cy="2849245"/>
            <wp:effectExtent l="0" t="0" r="317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pPr>
    </w:p>
    <w:p>
      <w:pPr>
        <w:widowControl w:val="0"/>
        <w:numPr>
          <w:ilvl w:val="0"/>
          <w:numId w:val="0"/>
        </w:numPr>
        <w:spacing w:line="360" w:lineRule="auto"/>
        <w:ind w:firstLine="560" w:firstLineChars="200"/>
        <w:jc w:val="both"/>
      </w:pPr>
      <w:r>
        <w:rPr>
          <w:rFonts w:hint="eastAsia" w:ascii="微软雅黑" w:hAnsi="微软雅黑" w:eastAsia="微软雅黑" w:cs="微软雅黑"/>
          <w:b w:val="0"/>
          <w:bCs/>
          <w:kern w:val="2"/>
          <w:sz w:val="28"/>
          <w:szCs w:val="28"/>
          <w:lang w:val="en-US" w:eastAsia="zh-CN" w:bidi="ar-SA"/>
        </w:rPr>
        <w:t>点击“交易详情”按钮可查看用户和缴费机的缴付找零金额详情。</w:t>
      </w:r>
    </w:p>
    <w:p>
      <w:pPr>
        <w:numPr>
          <w:ilvl w:val="0"/>
          <w:numId w:val="0"/>
        </w:numPr>
        <w:jc w:val="left"/>
      </w:pPr>
      <w:r>
        <w:drawing>
          <wp:inline distT="0" distB="0" distL="114300" distR="114300">
            <wp:extent cx="6181725" cy="2849245"/>
            <wp:effectExtent l="0" t="0" r="3175"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一体机增加了双枪识别等待阈值</w:t>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双枪识别等待阈值：即一体机双枪场景下，一个枪识别到结果后将会等待另一个枪识别结果的阈值。</w:t>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未更改设置时，该双枪识别等待的时间阈值默认为10秒。可点击“修改”按钮修改这个时间阈值。</w:t>
      </w:r>
    </w:p>
    <w:p>
      <w:pPr>
        <w:numPr>
          <w:ilvl w:val="0"/>
          <w:numId w:val="0"/>
        </w:numPr>
        <w:jc w:val="left"/>
      </w:pPr>
      <w:r>
        <w:drawing>
          <wp:inline distT="0" distB="0" distL="114300" distR="114300">
            <wp:extent cx="6181725" cy="2849245"/>
            <wp:effectExtent l="0" t="0" r="317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6181725" cy="2849245"/>
                    </a:xfrm>
                    <a:prstGeom prst="rect">
                      <a:avLst/>
                    </a:prstGeom>
                    <a:noFill/>
                    <a:ln w="9525">
                      <a:noFill/>
                    </a:ln>
                  </pic:spPr>
                </pic:pic>
              </a:graphicData>
            </a:graphic>
          </wp:inline>
        </w:drawing>
      </w:r>
    </w:p>
    <w:p>
      <w:pPr>
        <w:numPr>
          <w:ilvl w:val="0"/>
          <w:numId w:val="0"/>
        </w:numPr>
        <w:jc w:val="center"/>
      </w:pPr>
      <w:r>
        <w:drawing>
          <wp:inline distT="0" distB="0" distL="114300" distR="114300">
            <wp:extent cx="4324350" cy="1530350"/>
            <wp:effectExtent l="0" t="0" r="6350"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3"/>
                    <a:stretch>
                      <a:fillRect/>
                    </a:stretch>
                  </pic:blipFill>
                  <pic:spPr>
                    <a:xfrm>
                      <a:off x="0" y="0"/>
                      <a:ext cx="4324350" cy="1530350"/>
                    </a:xfrm>
                    <a:prstGeom prst="rect">
                      <a:avLst/>
                    </a:prstGeom>
                    <a:noFill/>
                    <a:ln w="9525">
                      <a:noFill/>
                    </a:ln>
                  </pic:spPr>
                </pic:pic>
              </a:graphicData>
            </a:graphic>
          </wp:inline>
        </w:drawing>
      </w:r>
      <w:bookmarkStart w:id="0" w:name="_GoBack"/>
      <w:bookmarkEnd w:id="0"/>
    </w:p>
    <w:p>
      <w:pPr>
        <w:numPr>
          <w:ilvl w:val="0"/>
          <w:numId w:val="0"/>
        </w:numPr>
        <w:jc w:val="center"/>
      </w:pPr>
    </w:p>
    <w:p>
      <w:pPr>
        <w:numPr>
          <w:ilvl w:val="0"/>
          <w:numId w:val="0"/>
        </w:numPr>
        <w:jc w:val="center"/>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VIP操作流水-修改车牌操作流水增加退款按钮</w:t>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双枪识别等待阈值：即一体机双枪场景下，一个枪识别到结果后将会等待另一个枪识别结果的阈值。</w:t>
      </w:r>
    </w:p>
    <w:p>
      <w:pPr>
        <w:widowControl w:val="0"/>
        <w:numPr>
          <w:ilvl w:val="0"/>
          <w:numId w:val="0"/>
        </w:numPr>
        <w:spacing w:line="360" w:lineRule="auto"/>
        <w:ind w:firstLine="560" w:firstLineChars="200"/>
        <w:jc w:val="both"/>
        <w:rPr>
          <w:rFonts w:hint="eastAsia" w:ascii="黑体" w:hAnsi="黑体" w:eastAsia="黑体" w:cs="黑体"/>
          <w:sz w:val="32"/>
          <w:szCs w:val="32"/>
          <w:lang w:val="en-US" w:eastAsia="zh-CN"/>
        </w:rPr>
      </w:pPr>
      <w:r>
        <w:rPr>
          <w:rFonts w:hint="eastAsia" w:ascii="微软雅黑" w:hAnsi="微软雅黑" w:eastAsia="微软雅黑" w:cs="微软雅黑"/>
          <w:b w:val="0"/>
          <w:bCs/>
          <w:kern w:val="2"/>
          <w:sz w:val="28"/>
          <w:szCs w:val="28"/>
          <w:lang w:val="en-US" w:eastAsia="zh-CN" w:bidi="ar-SA"/>
        </w:rPr>
        <w:t>未更改设置时，该双枪识别等待的时间阈值默认为10秒。可点击“修改”按钮修改这个时间阈值。</w:t>
      </w:r>
    </w:p>
    <w:p>
      <w:pPr>
        <w:numPr>
          <w:ilvl w:val="0"/>
          <w:numId w:val="0"/>
        </w:numPr>
        <w:jc w:val="left"/>
      </w:pPr>
      <w:r>
        <w:drawing>
          <wp:inline distT="0" distB="0" distL="114300" distR="114300">
            <wp:extent cx="6181725" cy="2849245"/>
            <wp:effectExtent l="0" t="0" r="317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4"/>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pPr>
      <w:r>
        <w:drawing>
          <wp:inline distT="0" distB="0" distL="114300" distR="114300">
            <wp:extent cx="6182360" cy="3305810"/>
            <wp:effectExtent l="0" t="0" r="254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5"/>
                    <a:stretch>
                      <a:fillRect/>
                    </a:stretch>
                  </pic:blipFill>
                  <pic:spPr>
                    <a:xfrm>
                      <a:off x="0" y="0"/>
                      <a:ext cx="6182360" cy="3305810"/>
                    </a:xfrm>
                    <a:prstGeom prst="rect">
                      <a:avLst/>
                    </a:prstGeom>
                    <a:noFill/>
                    <a:ln w="9525">
                      <a:noFill/>
                    </a:ln>
                  </pic:spPr>
                </pic:pic>
              </a:graphicData>
            </a:graphic>
          </wp:inline>
        </w:drawing>
      </w:r>
    </w:p>
    <w:p>
      <w:pPr>
        <w:numPr>
          <w:ilvl w:val="0"/>
          <w:numId w:val="0"/>
        </w:numPr>
        <w:jc w:val="left"/>
      </w:pPr>
      <w:r>
        <w:drawing>
          <wp:inline distT="0" distB="0" distL="114300" distR="114300">
            <wp:extent cx="6181725" cy="2849245"/>
            <wp:effectExtent l="0" t="0" r="317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6181725" cy="2849245"/>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1"/>
        </w:num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增加不兼容浏览器的提示</w:t>
      </w:r>
    </w:p>
    <w:p>
      <w:pPr>
        <w:widowControl w:val="0"/>
        <w:numPr>
          <w:ilvl w:val="0"/>
          <w:numId w:val="0"/>
        </w:numPr>
        <w:spacing w:line="360" w:lineRule="auto"/>
        <w:ind w:firstLine="560" w:firstLineChars="200"/>
        <w:jc w:val="both"/>
        <w:rPr>
          <w:rFonts w:hint="eastAsia"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当用户使用不兼容浏览器打开VEMS系统（包括管理端、岗亭端和中央收费系统）时</w:t>
      </w:r>
      <w:r>
        <w:rPr>
          <w:rFonts w:hint="eastAsia" w:ascii="微软雅黑" w:hAnsi="微软雅黑" w:eastAsia="微软雅黑" w:cs="微软雅黑"/>
          <w:b/>
          <w:bCs w:val="0"/>
          <w:kern w:val="2"/>
          <w:sz w:val="28"/>
          <w:szCs w:val="28"/>
          <w:lang w:val="en-US" w:eastAsia="zh-CN" w:bidi="ar-SA"/>
        </w:rPr>
        <w:t>，</w:t>
      </w:r>
      <w:r>
        <w:rPr>
          <w:rFonts w:hint="eastAsia" w:ascii="微软雅黑" w:hAnsi="微软雅黑" w:eastAsia="微软雅黑" w:cs="微软雅黑"/>
          <w:b w:val="0"/>
          <w:bCs/>
          <w:kern w:val="2"/>
          <w:sz w:val="28"/>
          <w:szCs w:val="28"/>
          <w:lang w:val="en-US" w:eastAsia="zh-CN" w:bidi="ar-SA"/>
        </w:rPr>
        <w:t>系统会提示用户使用不兼容的浏览器有可能会出现页面打开失败、功能缺失等问题，建议用户更换以上支持的浏览器：</w:t>
      </w:r>
    </w:p>
    <w:p>
      <w:pPr>
        <w:widowControl w:val="0"/>
        <w:numPr>
          <w:ilvl w:val="0"/>
          <w:numId w:val="0"/>
        </w:numPr>
        <w:spacing w:line="360" w:lineRule="auto"/>
        <w:ind w:firstLine="560" w:firstLineChars="200"/>
        <w:jc w:val="both"/>
        <w:rPr>
          <w:rFonts w:hint="eastAsia" w:ascii="微软雅黑" w:hAnsi="微软雅黑" w:eastAsia="微软雅黑"/>
          <w:color w:val="000000"/>
          <w:sz w:val="28"/>
          <w:szCs w:val="28"/>
          <w:lang w:val="zh-CN"/>
        </w:rPr>
      </w:pPr>
      <w:r>
        <w:rPr>
          <w:rFonts w:hint="eastAsia" w:ascii="微软雅黑" w:hAnsi="微软雅黑" w:eastAsia="微软雅黑"/>
          <w:color w:val="000000"/>
          <w:sz w:val="28"/>
          <w:szCs w:val="28"/>
          <w:lang w:val="zh-CN"/>
        </w:rPr>
        <w:t>Windows环境： IE10以上 和 Chrome50及以上</w:t>
      </w:r>
    </w:p>
    <w:p>
      <w:pPr>
        <w:widowControl w:val="0"/>
        <w:numPr>
          <w:ilvl w:val="0"/>
          <w:numId w:val="0"/>
        </w:numPr>
        <w:spacing w:line="360" w:lineRule="auto"/>
        <w:ind w:firstLine="560" w:firstLineChars="200"/>
        <w:jc w:val="both"/>
        <w:rPr>
          <w:rFonts w:hint="eastAsia" w:ascii="微软雅黑" w:hAnsi="微软雅黑" w:eastAsia="微软雅黑"/>
          <w:color w:val="000000"/>
          <w:sz w:val="28"/>
          <w:szCs w:val="28"/>
          <w:lang w:val="en-US" w:eastAsia="zh-CN"/>
        </w:rPr>
      </w:pPr>
      <w:r>
        <w:rPr>
          <w:rFonts w:hint="eastAsia" w:ascii="微软雅黑" w:hAnsi="微软雅黑" w:eastAsia="微软雅黑"/>
          <w:color w:val="000000"/>
          <w:sz w:val="28"/>
          <w:szCs w:val="28"/>
          <w:lang w:val="zh-CN"/>
        </w:rPr>
        <w:t>Linux环境： Chromium31.0</w:t>
      </w:r>
      <w:r>
        <w:rPr>
          <w:rFonts w:hint="eastAsia" w:ascii="微软雅黑" w:hAnsi="微软雅黑" w:eastAsia="微软雅黑"/>
          <w:color w:val="000000"/>
          <w:sz w:val="28"/>
          <w:szCs w:val="28"/>
          <w:lang w:val="en-US" w:eastAsia="zh-CN"/>
        </w:rPr>
        <w:t>以上</w:t>
      </w:r>
    </w:p>
    <w:p>
      <w:pPr>
        <w:widowControl w:val="0"/>
        <w:numPr>
          <w:ilvl w:val="0"/>
          <w:numId w:val="0"/>
        </w:numPr>
        <w:spacing w:line="360" w:lineRule="auto"/>
        <w:ind w:firstLine="560" w:firstLineChars="200"/>
        <w:jc w:val="both"/>
        <w:rPr>
          <w:rFonts w:hint="eastAsia" w:ascii="微软雅黑" w:hAnsi="微软雅黑" w:eastAsia="微软雅黑"/>
          <w:color w:val="000000"/>
          <w:sz w:val="28"/>
          <w:szCs w:val="28"/>
          <w:lang w:val="zh-CN"/>
        </w:rPr>
      </w:pPr>
      <w:r>
        <w:rPr>
          <w:rFonts w:hint="eastAsia" w:ascii="微软雅黑" w:hAnsi="微软雅黑" w:eastAsia="微软雅黑"/>
          <w:color w:val="000000"/>
          <w:sz w:val="28"/>
          <w:szCs w:val="28"/>
          <w:lang w:val="zh-CN"/>
        </w:rPr>
        <w:t>Ipad环境： Chrome50及以上</w:t>
      </w:r>
    </w:p>
    <w:p>
      <w:pPr>
        <w:widowControl w:val="0"/>
        <w:numPr>
          <w:ilvl w:val="0"/>
          <w:numId w:val="0"/>
        </w:numPr>
        <w:spacing w:line="360" w:lineRule="auto"/>
        <w:ind w:firstLine="560" w:firstLineChars="200"/>
        <w:jc w:val="both"/>
        <w:rPr>
          <w:rFonts w:hint="eastAsia" w:ascii="微软雅黑" w:hAnsi="微软雅黑" w:eastAsia="微软雅黑"/>
          <w:color w:val="000000"/>
          <w:sz w:val="28"/>
          <w:szCs w:val="28"/>
          <w:lang w:val="en-US" w:eastAsia="zh-CN"/>
        </w:rPr>
      </w:pPr>
      <w:r>
        <w:rPr>
          <w:rFonts w:hint="eastAsia" w:ascii="微软雅黑" w:hAnsi="微软雅黑" w:eastAsia="微软雅黑"/>
          <w:color w:val="000000"/>
          <w:sz w:val="28"/>
          <w:szCs w:val="28"/>
          <w:lang w:val="en-US" w:eastAsia="zh-CN"/>
        </w:rPr>
        <w:t>提示不能主动关掉，即不能使用不兼容的浏览器，只有用户更换兼容的浏览器才能使用。</w:t>
      </w:r>
    </w:p>
    <w:p>
      <w:pPr>
        <w:numPr>
          <w:ilvl w:val="0"/>
          <w:numId w:val="0"/>
        </w:numPr>
        <w:ind w:left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907030"/>
            <wp:effectExtent l="0" t="0" r="3175" b="1270"/>
            <wp:docPr id="2" name="图片 2" descr="不兼容浏览器的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不兼容浏览器的提示"/>
                    <pic:cNvPicPr>
                      <a:picLocks noChangeAspect="1"/>
                    </pic:cNvPicPr>
                  </pic:nvPicPr>
                  <pic:blipFill>
                    <a:blip r:embed="rId27"/>
                    <a:stretch>
                      <a:fillRect/>
                    </a:stretch>
                  </pic:blipFill>
                  <pic:spPr>
                    <a:xfrm>
                      <a:off x="0" y="0"/>
                      <a:ext cx="6181725" cy="2907030"/>
                    </a:xfrm>
                    <a:prstGeom prst="rect">
                      <a:avLst/>
                    </a:prstGeom>
                  </pic:spPr>
                </pic:pic>
              </a:graphicData>
            </a:graphic>
          </wp:inline>
        </w:drawing>
      </w:r>
    </w:p>
    <w:p>
      <w:pPr>
        <w:numPr>
          <w:ilvl w:val="0"/>
          <w:numId w:val="0"/>
        </w:numPr>
        <w:ind w:left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913380"/>
            <wp:effectExtent l="0" t="0" r="3175" b="7620"/>
            <wp:docPr id="3" name="图片 3" descr="不兼容浏览器的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兼容浏览器的提示"/>
                    <pic:cNvPicPr>
                      <a:picLocks noChangeAspect="1"/>
                    </pic:cNvPicPr>
                  </pic:nvPicPr>
                  <pic:blipFill>
                    <a:blip r:embed="rId28"/>
                    <a:stretch>
                      <a:fillRect/>
                    </a:stretch>
                  </pic:blipFill>
                  <pic:spPr>
                    <a:xfrm>
                      <a:off x="0" y="0"/>
                      <a:ext cx="6181725" cy="2913380"/>
                    </a:xfrm>
                    <a:prstGeom prst="rect">
                      <a:avLst/>
                    </a:prstGeom>
                  </pic:spPr>
                </pic:pic>
              </a:graphicData>
            </a:graphic>
          </wp:inline>
        </w:drawing>
      </w:r>
    </w:p>
    <w:p>
      <w:pPr>
        <w:numPr>
          <w:ilvl w:val="0"/>
          <w:numId w:val="0"/>
        </w:numPr>
        <w:ind w:left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81725" cy="2907030"/>
            <wp:effectExtent l="0" t="0" r="3175" b="1270"/>
            <wp:docPr id="4" name="图片 4" descr="不兼容浏览器的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不兼容浏览器的提示"/>
                    <pic:cNvPicPr>
                      <a:picLocks noChangeAspect="1"/>
                    </pic:cNvPicPr>
                  </pic:nvPicPr>
                  <pic:blipFill>
                    <a:blip r:embed="rId29"/>
                    <a:stretch>
                      <a:fillRect/>
                    </a:stretch>
                  </pic:blipFill>
                  <pic:spPr>
                    <a:xfrm>
                      <a:off x="0" y="0"/>
                      <a:ext cx="6181725" cy="2907030"/>
                    </a:xfrm>
                    <a:prstGeom prst="rect">
                      <a:avLst/>
                    </a:prstGeom>
                  </pic:spPr>
                </pic:pic>
              </a:graphicData>
            </a:graphic>
          </wp:inline>
        </w:drawing>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Verdana">
    <w:panose1 w:val="020B0604030504040204"/>
    <w:charset w:val="86"/>
    <w:family w:val="swiss"/>
    <w:pitch w:val="default"/>
    <w:sig w:usb0="A10006FF" w:usb1="4000205B" w:usb2="00000010" w:usb3="00000000" w:csb0="2000019F" w:csb1="00000000"/>
  </w:font>
  <w:font w:name="新宋体">
    <w:panose1 w:val="02010609030101010101"/>
    <w:charset w:val="86"/>
    <w:family w:val="auto"/>
    <w:pitch w:val="default"/>
    <w:sig w:usb0="00000003" w:usb1="288F0000" w:usb2="00000006" w:usb3="00000000" w:csb0="00040001"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auto"/>
    <w:pitch w:val="default"/>
    <w:sig w:usb0="00000000" w:usb1="00000000" w:usb2="00000000" w:usb3="00000000" w:csb0="00040000" w:csb1="00000000"/>
  </w:font>
  <w:font w:name="Arial">
    <w:panose1 w:val="020B0604020202020204"/>
    <w:charset w:val="00"/>
    <w:family w:val="auto"/>
    <w:pitch w:val="default"/>
    <w:sig w:usb0="E0002EFF" w:usb1="C0007843" w:usb2="00000009" w:usb3="00000000" w:csb0="400001FF" w:csb1="FFFF0000"/>
  </w:font>
  <w:font w:name="Batang">
    <w:altName w:val="Malgun Gothic"/>
    <w:panose1 w:val="02030600000101010101"/>
    <w:charset w:val="81"/>
    <w:family w:val="auto"/>
    <w:pitch w:val="default"/>
    <w:sig w:usb0="00000000" w:usb1="00000000" w:usb2="00000030" w:usb3="00000000" w:csb0="4008009F" w:csb1="DFD70000"/>
  </w:font>
  <w:font w:name="Arial Unicode MS">
    <w:altName w:val="宋体"/>
    <w:panose1 w:val="020B0604020202020204"/>
    <w:charset w:val="86"/>
    <w:family w:val="auto"/>
    <w:pitch w:val="default"/>
    <w:sig w:usb0="00000000" w:usb1="00000000" w:usb2="0000003F" w:usb3="00000000" w:csb0="603F01FF" w:csb1="FFFF0000"/>
  </w:font>
  <w:font w:name="DFKai-SB">
    <w:altName w:val="Microsoft JhengHei Light"/>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GungsuhChe">
    <w:altName w:val="Malgun Gothic"/>
    <w:panose1 w:val="02030609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MingLiU">
    <w:altName w:val="PMingLiU-ExtB"/>
    <w:panose1 w:val="02020509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华文仿宋">
    <w:altName w:val="仿宋"/>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Simplified Arabic">
    <w:altName w:val="Times New Roman"/>
    <w:panose1 w:val="020206030504050203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Roboto">
    <w:panose1 w:val="02000000000000000000"/>
    <w:charset w:val="00"/>
    <w:family w:val="auto"/>
    <w:pitch w:val="default"/>
    <w:sig w:usb0="E0000AFF" w:usb1="5000217F" w:usb2="0000002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幼圆">
    <w:altName w:val="宋体"/>
    <w:panose1 w:val="02010509060101010101"/>
    <w:charset w:val="86"/>
    <w:family w:val="auto"/>
    <w:pitch w:val="default"/>
    <w:sig w:usb0="00000000" w:usb1="00000000" w:usb2="00000000" w:usb3="00000000" w:csb0="0004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rinda">
    <w:altName w:val="Segoe UI Symbol"/>
    <w:panose1 w:val="020B0502040204020203"/>
    <w:charset w:val="00"/>
    <w:family w:val="auto"/>
    <w:pitch w:val="default"/>
    <w:sig w:usb0="00000000" w:usb1="00000000" w:usb2="00000000" w:usb3="00000000" w:csb0="00000001" w:csb1="00000000"/>
  </w:font>
  <w:font w:name="冬青黑体简体中文 W6">
    <w:altName w:val="黑体"/>
    <w:panose1 w:val="020B0600000000000000"/>
    <w:charset w:val="86"/>
    <w:family w:val="auto"/>
    <w:pitch w:val="default"/>
    <w:sig w:usb0="00000000" w:usb1="00000000" w:usb2="00000016" w:usb3="00000000" w:csb0="00060007" w:csb1="00000000"/>
  </w:font>
  <w:font w:name="BatangChe">
    <w:altName w:val="Malgun Gothic"/>
    <w:panose1 w:val="02030609000101010101"/>
    <w:charset w:val="81"/>
    <w:family w:val="auto"/>
    <w:pitch w:val="default"/>
    <w:sig w:usb0="00000000" w:usb1="00000000" w:usb2="00000030" w:usb3="00000000" w:csb0="4008009F" w:csb1="DFD70000"/>
  </w:font>
  <w:font w:name="MS PGothic">
    <w:panose1 w:val="020B0600070205080204"/>
    <w:charset w:val="80"/>
    <w:family w:val="auto"/>
    <w:pitch w:val="default"/>
    <w:sig w:usb0="E00002FF" w:usb1="6AC7FDFB" w:usb2="08000012" w:usb3="00000000" w:csb0="4002009F" w:csb1="DFD70000"/>
  </w:font>
  <w:font w:name="MS Mincho">
    <w:altName w:val="Yu Gothic UI"/>
    <w:panose1 w:val="02020609040205080304"/>
    <w:charset w:val="80"/>
    <w:family w:val="auto"/>
    <w:pitch w:val="default"/>
    <w:sig w:usb0="00000000" w:usb1="00000000" w:usb2="00000012" w:usb3="00000000" w:csb0="4002009F" w:csb1="DFD70000"/>
  </w:font>
  <w:font w:name="MS Gothic">
    <w:panose1 w:val="020B0609070205080204"/>
    <w:charset w:val="80"/>
    <w:family w:val="auto"/>
    <w:pitch w:val="default"/>
    <w:sig w:usb0="E00002FF" w:usb1="6AC7FDFB" w:usb2="08000012" w:usb3="00000000" w:csb0="4002009F" w:csb1="DFD70000"/>
  </w:font>
  <w:font w:name="MS PMincho">
    <w:altName w:val="Yu Gothic UI"/>
    <w:panose1 w:val="02020600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haroni">
    <w:altName w:val="Yu Gothic UI Semibold"/>
    <w:panose1 w:val="02010803020104030203"/>
    <w:charset w:val="00"/>
    <w:family w:val="auto"/>
    <w:pitch w:val="default"/>
    <w:sig w:usb0="00000000" w:usb1="00000000" w:usb2="00000000" w:usb3="00000000" w:csb0="00000020" w:csb1="00200000"/>
  </w:font>
  <w:font w:name="AngsanaUPC">
    <w:altName w:val="Times New Roman"/>
    <w:panose1 w:val="02020603050405020304"/>
    <w:charset w:val="00"/>
    <w:family w:val="auto"/>
    <w:pitch w:val="default"/>
    <w:sig w:usb0="00000000" w:usb1="00000000" w:usb2="00000000" w:usb3="00000000" w:csb0="00010001" w:csb1="00000000"/>
  </w:font>
  <w:font w:name="Arabic Typesetting">
    <w:altName w:val="Comic Sans MS"/>
    <w:panose1 w:val="03020402040406030203"/>
    <w:charset w:val="00"/>
    <w:family w:val="auto"/>
    <w:pitch w:val="default"/>
    <w:sig w:usb0="00000000" w:usb1="0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Arvo">
    <w:panose1 w:val="02000000000000000000"/>
    <w:charset w:val="00"/>
    <w:family w:val="auto"/>
    <w:pitch w:val="default"/>
    <w:sig w:usb0="800000A7" w:usb1="00000041" w:usb2="00000000" w:usb3="00000000" w:csb0="20000111" w:csb1="40000000"/>
  </w:font>
  <w:font w:name="Axure Handwriting">
    <w:panose1 w:val="020B0402020200020204"/>
    <w:charset w:val="00"/>
    <w:family w:val="auto"/>
    <w:pitch w:val="default"/>
    <w:sig w:usb0="800000AF" w:usb1="4000204A" w:usb2="00000000" w:usb3="00000000" w:csb0="00000001" w:csb1="00000000"/>
  </w:font>
  <w:font w:name="Browallia New">
    <w:altName w:val="Segoe Print"/>
    <w:panose1 w:val="020B0604020202020204"/>
    <w:charset w:val="00"/>
    <w:family w:val="auto"/>
    <w:pitch w:val="default"/>
    <w:sig w:usb0="00000000" w:usb1="00000000" w:usb2="00000000" w:usb3="00000000" w:csb0="00010001" w:csb1="00000000"/>
  </w:font>
  <w:font w:name="BrowalliaUPC">
    <w:altName w:val="Segoe Print"/>
    <w:panose1 w:val="020B0604020202020204"/>
    <w:charset w:val="00"/>
    <w:family w:val="auto"/>
    <w:pitch w:val="default"/>
    <w:sig w:usb0="00000000" w:usb1="00000000" w:usb2="00000000" w:usb3="00000000" w:csb0="00010001" w:csb1="00000000"/>
  </w:font>
  <w:font w:name="Cambria Math">
    <w:panose1 w:val="02040503050406030204"/>
    <w:charset w:val="00"/>
    <w:family w:val="auto"/>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Euphemia">
    <w:altName w:val="Yu Gothic UI"/>
    <w:panose1 w:val="020B0503040102020104"/>
    <w:charset w:val="00"/>
    <w:family w:val="auto"/>
    <w:pitch w:val="default"/>
    <w:sig w:usb0="00000000" w:usb1="00000000" w:usb2="00002000" w:usb3="00000000" w:csb0="00000001" w:csb1="00000000"/>
  </w:font>
  <w:font w:name="Impact">
    <w:panose1 w:val="020B0806030902050204"/>
    <w:charset w:val="00"/>
    <w:family w:val="auto"/>
    <w:pitch w:val="default"/>
    <w:sig w:usb0="00000287" w:usb1="00000000" w:usb2="00000000" w:usb3="00000000" w:csb0="2000009F" w:csb1="DFD70000"/>
  </w:font>
  <w:font w:name="Indie Flower">
    <w:panose1 w:val="02000000000000000000"/>
    <w:charset w:val="00"/>
    <w:family w:val="auto"/>
    <w:pitch w:val="default"/>
    <w:sig w:usb0="A000002F" w:usb1="5000004A" w:usb2="00000000" w:usb3="00000000" w:csb0="00000093" w:csb1="00000000"/>
  </w:font>
  <w:font w:name="JasmineUPC">
    <w:altName w:val="Times New Roman"/>
    <w:panose1 w:val="02020603050405020304"/>
    <w:charset w:val="00"/>
    <w:family w:val="auto"/>
    <w:pitch w:val="default"/>
    <w:sig w:usb0="00000000" w:usb1="00000000" w:usb2="00000000" w:usb3="00000000" w:csb0="00010001" w:csb1="00000000"/>
  </w:font>
  <w:font w:name="Kalinga">
    <w:altName w:val="Segoe UI Symbol"/>
    <w:panose1 w:val="020B0502040204020203"/>
    <w:charset w:val="00"/>
    <w:family w:val="auto"/>
    <w:pitch w:val="default"/>
    <w:sig w:usb0="00000000" w:usb1="00000000" w:usb2="00000000" w:usb3="00000000" w:csb0="00000001" w:csb1="00000000"/>
  </w:font>
  <w:font w:name="Khmer UI">
    <w:altName w:val="Segoe UI Symbol"/>
    <w:panose1 w:val="020B0502040204020203"/>
    <w:charset w:val="00"/>
    <w:family w:val="auto"/>
    <w:pitch w:val="default"/>
    <w:sig w:usb0="00000000" w:usb1="00000000" w:usb2="00010000" w:usb3="00000000" w:csb0="00000001" w:csb1="0000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Uighur">
    <w:altName w:val="Trebuchet MS"/>
    <w:panose1 w:val="02000000000000000000"/>
    <w:charset w:val="00"/>
    <w:family w:val="auto"/>
    <w:pitch w:val="default"/>
    <w:sig w:usb0="00000000" w:usb1="00000000" w:usb2="00000008" w:usb3="00000000" w:csb0="00000041" w:csb1="00000000"/>
  </w:font>
  <w:font w:name="Segoe UI Symbol">
    <w:panose1 w:val="020B0502040204020203"/>
    <w:charset w:val="00"/>
    <w:family w:val="auto"/>
    <w:pitch w:val="default"/>
    <w:sig w:usb0="800001E3" w:usb1="1200FFEF" w:usb2="00040000" w:usb3="04000000" w:csb0="00000001" w:csb1="40000000"/>
  </w:font>
  <w:font w:name="Vijaya">
    <w:altName w:val="Segoe Print"/>
    <w:panose1 w:val="020B0604020202020204"/>
    <w:charset w:val="00"/>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altName w:val="Segoe UI Symbol"/>
    <w:panose1 w:val="020B0502040204020203"/>
    <w:charset w:val="00"/>
    <w:family w:val="auto"/>
    <w:pitch w:val="default"/>
    <w:sig w:usb0="00000000" w:usb1="00000000" w:usb2="00000000" w:usb3="00000000" w:csb0="00000001" w:csb1="00000000"/>
  </w:font>
  <w:font w:name="Utsaah">
    <w:altName w:val="Segoe Print"/>
    <w:panose1 w:val="020B0604020202020204"/>
    <w:charset w:val="00"/>
    <w:family w:val="auto"/>
    <w:pitch w:val="default"/>
    <w:sig w:usb0="00000000" w:usb1="00000000" w:usb2="00000000" w:usb3="00000000" w:csb0="00000001" w:csb1="00000000"/>
  </w:font>
  <w:font w:name="Tunga">
    <w:altName w:val="Segoe UI Symbol"/>
    <w:panose1 w:val="020B0502040204020203"/>
    <w:charset w:val="00"/>
    <w:family w:val="auto"/>
    <w:pitch w:val="default"/>
    <w:sig w:usb0="00000000" w:usb1="00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冬青黑体简体中文 W3">
    <w:altName w:val="黑体"/>
    <w:panose1 w:val="020B0300000000000000"/>
    <w:charset w:val="86"/>
    <w:family w:val="auto"/>
    <w:pitch w:val="default"/>
    <w:sig w:usb0="00000000" w:usb1="00000000" w:usb2="00000016" w:usb3="00000000" w:csb0="00060007"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Hiragino Sans GB">
    <w:altName w:val="Segoe Print"/>
    <w:panose1 w:val="00000000000000000000"/>
    <w:charset w:val="00"/>
    <w:family w:val="auto"/>
    <w:pitch w:val="default"/>
    <w:sig w:usb0="00000000" w:usb1="00000000" w:usb2="00000000" w:usb3="00000000" w:csb0="0000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00000" w:csb1="00000000"/>
  </w:font>
  <w:font w:name="µÈÏß">
    <w:altName w:val="宋体"/>
    <w:panose1 w:val="00000000000000000000"/>
    <w:charset w:val="86"/>
    <w:family w:val="auto"/>
    <w:pitch w:val="default"/>
    <w:sig w:usb0="00000000" w:usb1="00000000" w:usb2="00000000" w:usb3="00000000" w:csb0="00040000" w:csb1="00000000"/>
  </w:font>
  <w:font w:name="微软雅黑">
    <w:panose1 w:val="020B0503020204020204"/>
    <w:charset w:val="50"/>
    <w:family w:val="auto"/>
    <w:pitch w:val="default"/>
    <w:sig w:usb0="80000287" w:usb1="2ACF3C50"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Liberation Serif">
    <w:altName w:val="宋体"/>
    <w:panose1 w:val="02020603050405020304"/>
    <w:charset w:val="86"/>
    <w:family w:val="roman"/>
    <w:pitch w:val="default"/>
    <w:sig w:usb0="00000000" w:usb1="00000000" w:usb2="00000021" w:usb3="00000000" w:csb0="600001BF" w:csb1="DFF70000"/>
  </w:font>
  <w:font w:name="Cambria">
    <w:panose1 w:val="02040503050406030204"/>
    <w:charset w:val="86"/>
    <w:family w:val="roman"/>
    <w:pitch w:val="default"/>
    <w:sig w:usb0="E00006FF" w:usb1="400004FF" w:usb2="00000000" w:usb3="00000000" w:csb0="2000019F" w:csb1="00000000"/>
  </w:font>
  <w:font w:name="Arial">
    <w:panose1 w:val="020B0604020202020204"/>
    <w:charset w:val="86"/>
    <w:family w:val="roman"/>
    <w:pitch w:val="default"/>
    <w:sig w:usb0="E0002EFF" w:usb1="C0007843" w:usb2="00000009" w:usb3="00000000" w:csb0="400001FF" w:csb1="FFFF0000"/>
  </w:font>
  <w:font w:name="Calibri">
    <w:panose1 w:val="020F0502020204030204"/>
    <w:charset w:val="86"/>
    <w:family w:val="roman"/>
    <w:pitch w:val="default"/>
    <w:sig w:usb0="E0002AFF" w:usb1="C000247B" w:usb2="00000009" w:usb3="00000000" w:csb0="200001FF" w:csb1="00000000"/>
  </w:font>
  <w:font w:name="Liberation Sans">
    <w:altName w:val="宋体"/>
    <w:panose1 w:val="020B0604020202020204"/>
    <w:charset w:val="86"/>
    <w:family w:val="swiss"/>
    <w:pitch w:val="default"/>
    <w:sig w:usb0="00000000" w:usb1="00000000" w:usb2="00000021" w:usb3="00000000" w:csb0="600001BF" w:csb1="DFF70000"/>
  </w:font>
  <w:font w:name="宋?">
    <w:altName w:val="宋体"/>
    <w:panose1 w:val="00000000000000000000"/>
    <w:charset w:val="86"/>
    <w:family w:val="roman"/>
    <w:pitch w:val="default"/>
    <w:sig w:usb0="00000000" w:usb1="00000000" w:usb2="00000000" w:usb3="00000000" w:csb0="00000000" w:csb1="00000000"/>
  </w:font>
  <w:font w:name="Mangal">
    <w:altName w:val="Segoe Print"/>
    <w:panose1 w:val="02040503050203030202"/>
    <w:charset w:val="00"/>
    <w:family w:val="auto"/>
    <w:pitch w:val="default"/>
    <w:sig w:usb0="00000000" w:usb1="00000000" w:usb2="00000000" w:usb3="00000000" w:csb0="00000001" w:csb1="00000000"/>
  </w:font>
  <w:font w:name="幼圆">
    <w:altName w:val="Segoe Print"/>
    <w:panose1 w:val="00000000000000000000"/>
    <w:charset w:val="00"/>
    <w:family w:val="auto"/>
    <w:pitch w:val="default"/>
    <w:sig w:usb0="00000000" w:usb1="00000000" w:usb2="00000000" w:usb3="00000000" w:csb0="00000000" w:csb1="0000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B3742"/>
    <w:multiLevelType w:val="singleLevel"/>
    <w:tmpl w:val="04CB3742"/>
    <w:lvl w:ilvl="0" w:tentative="0">
      <w:start w:val="1"/>
      <w:numFmt w:val="decimal"/>
      <w:suff w:val="nothing"/>
      <w:lvlText w:val="%1、"/>
      <w:lvlJc w:val="left"/>
    </w:lvl>
  </w:abstractNum>
  <w:abstractNum w:abstractNumId="1">
    <w:nsid w:val="5A711D55"/>
    <w:multiLevelType w:val="singleLevel"/>
    <w:tmpl w:val="5A711D55"/>
    <w:lvl w:ilvl="0" w:tentative="0">
      <w:start w:val="1"/>
      <w:numFmt w:val="chineseCounting"/>
      <w:suff w:val="nothing"/>
      <w:lvlText w:val="%1、"/>
      <w:lvlJc w:val="left"/>
    </w:lvl>
  </w:abstractNum>
  <w:abstractNum w:abstractNumId="2">
    <w:nsid w:val="5E77456A"/>
    <w:multiLevelType w:val="singleLevel"/>
    <w:tmpl w:val="5E77456A"/>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9247E"/>
    <w:rsid w:val="01AD744D"/>
    <w:rsid w:val="0200111B"/>
    <w:rsid w:val="02A53FAC"/>
    <w:rsid w:val="04085B9E"/>
    <w:rsid w:val="040D433A"/>
    <w:rsid w:val="05311786"/>
    <w:rsid w:val="058975A0"/>
    <w:rsid w:val="05D864C8"/>
    <w:rsid w:val="07515715"/>
    <w:rsid w:val="0AE87976"/>
    <w:rsid w:val="0BC47630"/>
    <w:rsid w:val="0DF9247E"/>
    <w:rsid w:val="0FF204D5"/>
    <w:rsid w:val="1338107E"/>
    <w:rsid w:val="155239CC"/>
    <w:rsid w:val="15724226"/>
    <w:rsid w:val="15CE6BB3"/>
    <w:rsid w:val="195472E8"/>
    <w:rsid w:val="1A30054B"/>
    <w:rsid w:val="21A92387"/>
    <w:rsid w:val="22DD6D59"/>
    <w:rsid w:val="280F020C"/>
    <w:rsid w:val="2C0B7B67"/>
    <w:rsid w:val="2D383EE5"/>
    <w:rsid w:val="2D663C5A"/>
    <w:rsid w:val="2DCF1EE2"/>
    <w:rsid w:val="314663CE"/>
    <w:rsid w:val="37F850EE"/>
    <w:rsid w:val="3CBA1871"/>
    <w:rsid w:val="3FC80365"/>
    <w:rsid w:val="404B7A84"/>
    <w:rsid w:val="40F92D54"/>
    <w:rsid w:val="458A6B3A"/>
    <w:rsid w:val="467940C0"/>
    <w:rsid w:val="4ADF488C"/>
    <w:rsid w:val="4B671E78"/>
    <w:rsid w:val="4C7016F0"/>
    <w:rsid w:val="4D4051E0"/>
    <w:rsid w:val="4DEF1071"/>
    <w:rsid w:val="4DFB7A5C"/>
    <w:rsid w:val="4E417F4A"/>
    <w:rsid w:val="506626C1"/>
    <w:rsid w:val="525C0E2E"/>
    <w:rsid w:val="5C9D2422"/>
    <w:rsid w:val="5FA30835"/>
    <w:rsid w:val="6ABE4584"/>
    <w:rsid w:val="6B0A1DE5"/>
    <w:rsid w:val="6C2B582A"/>
    <w:rsid w:val="714D73CC"/>
    <w:rsid w:val="71935B00"/>
    <w:rsid w:val="75936BF4"/>
    <w:rsid w:val="764B655A"/>
    <w:rsid w:val="76652EB9"/>
    <w:rsid w:val="78172668"/>
    <w:rsid w:val="7D242552"/>
    <w:rsid w:val="7ED336AD"/>
    <w:rsid w:val="7F833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2018-01-31T01:23:00Z</dcterms:created>
  <dc:creator>北北</dc:creator>
  <cp:lastModifiedBy>北北</cp:lastModifiedBy>
  <dcterms:modified xsi:type="dcterms:W3CDTF">2018-01-31T08:34:03Z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