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29230"/>
            <wp:effectExtent l="0" t="0" r="3175" b="13970"/>
            <wp:docPr id="1" name="图片 1" descr="微信图片_2018082812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828124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荟聚停车场将被分为N个区域，仅采取区域引导方式，统计X小时内进场的车辆（可修改剩余车位数）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右边的停车总览中按停车区域生成报表而不是车位类型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每个区域可设定一个剩余车位阈值，当达到这个值时发出告警声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各类车位占用比例此版块不需要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C445A"/>
    <w:multiLevelType w:val="singleLevel"/>
    <w:tmpl w:val="D4EC4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A7554"/>
    <w:rsid w:val="3FBA75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2018-08-28T04:59:00Z</dcterms:created>
  <dc:creator>华家健-无锡天业智能</dc:creator>
  <cp:lastModifiedBy>华家健-无锡天业智能</cp:lastModifiedBy>
  <dcterms:modified xsi:type="dcterms:W3CDTF">2018-08-28T05:07:11Z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