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0" w:name="_Toc25469"/>
      <w:bookmarkStart w:id="1" w:name="_Toc24708"/>
      <w:r>
        <w:rPr>
          <w:rFonts w:hint="eastAsia"/>
          <w:lang w:val="en-US" w:eastAsia="zh-CN"/>
        </w:rPr>
        <w:t>MPGSV2.2.0</w:t>
      </w:r>
      <w:bookmarkEnd w:id="0"/>
      <w:bookmarkEnd w:id="1"/>
    </w:p>
    <w:p>
      <w:pPr>
        <w:spacing w:before="468" w:beforeLines="150" w:after="312" w:afterLines="100"/>
        <w:rPr>
          <w:rFonts w:ascii="微软雅黑" w:hAnsi="微软雅黑" w:cs="微软雅黑"/>
          <w:color w:val="000000"/>
        </w:rPr>
      </w:pPr>
      <w:r>
        <w:rPr>
          <w:rFonts w:hint="eastAsia" w:ascii="宋体" w:hAnsi="宋体" w:cs="黑体"/>
          <w:bCs/>
        </w:rPr>
        <w:t>文 件 名 称：</w:t>
      </w:r>
      <w:r>
        <w:rPr>
          <w:rFonts w:hint="eastAsia" w:ascii="微软雅黑" w:hAnsi="微软雅黑" w:cs="微软雅黑"/>
          <w:color w:val="000000"/>
          <w:u w:val="single"/>
        </w:rPr>
        <w:t xml:space="preserve"> </w:t>
      </w:r>
      <w:r>
        <w:rPr>
          <w:rFonts w:hint="eastAsia" w:ascii="微软雅黑" w:hAnsi="微软雅黑" w:cs="微软雅黑"/>
          <w:color w:val="000000"/>
          <w:u w:val="single"/>
          <w:lang w:val="en-US" w:eastAsia="zh-CN"/>
        </w:rPr>
        <w:t>MPGSV2.2.0需求规格说明书</w:t>
      </w:r>
      <w:r>
        <w:rPr>
          <w:rFonts w:hint="eastAsia" w:ascii="微软雅黑" w:hAnsi="微软雅黑" w:cs="微软雅黑"/>
          <w:color w:val="000000"/>
          <w:u w:val="single"/>
        </w:rPr>
        <w:t xml:space="preserve">                       </w:t>
      </w:r>
    </w:p>
    <w:p>
      <w:pPr>
        <w:spacing w:before="468" w:beforeLines="150" w:after="312" w:afterLines="100"/>
        <w:jc w:val="both"/>
        <w:rPr>
          <w:rFonts w:ascii="宋体" w:hAnsi="宋体" w:cs="黑体"/>
          <w:bCs/>
          <w:u w:val="single"/>
        </w:rPr>
      </w:pPr>
      <w:r>
        <w:rPr>
          <w:rFonts w:hint="eastAsia" w:ascii="宋体" w:hAnsi="宋体" w:cs="黑体"/>
          <w:bCs/>
        </w:rPr>
        <w:t>版    本：</w:t>
      </w:r>
      <w:r>
        <w:rPr>
          <w:rFonts w:hint="eastAsia" w:ascii="宋体" w:hAnsi="宋体" w:cs="黑体"/>
          <w:bCs/>
          <w:u w:val="single"/>
        </w:rPr>
        <w:t xml:space="preserve">        </w:t>
      </w:r>
      <w:r>
        <w:rPr>
          <w:rFonts w:hint="eastAsia" w:ascii="宋体" w:hAnsi="宋体" w:cs="黑体"/>
          <w:bCs/>
          <w:u w:val="single"/>
          <w:lang w:val="en-US" w:eastAsia="zh-CN"/>
        </w:rPr>
        <w:t>V1.0.0</w:t>
      </w:r>
      <w:r>
        <w:rPr>
          <w:rFonts w:hint="eastAsia" w:ascii="宋体" w:hAnsi="宋体" w:cs="黑体"/>
          <w:bCs/>
          <w:u w:val="single"/>
        </w:rPr>
        <w:t xml:space="preserve">      </w:t>
      </w:r>
      <w:r>
        <w:rPr>
          <w:rFonts w:hint="eastAsia" w:ascii="宋体" w:hAnsi="宋体" w:cs="黑体"/>
          <w:bCs/>
        </w:rPr>
        <w:t xml:space="preserve">    编    制：</w:t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  <w:lang w:eastAsia="zh-CN"/>
        </w:rPr>
        <w:t>李伟民</w:t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 xml:space="preserve">       </w:t>
      </w:r>
    </w:p>
    <w:p>
      <w:pPr>
        <w:spacing w:before="468" w:beforeLines="150" w:after="312" w:afterLines="100"/>
        <w:jc w:val="both"/>
        <w:rPr>
          <w:rFonts w:ascii="宋体" w:hAnsi="宋体" w:cs="黑体"/>
          <w:bCs/>
          <w:u w:val="single"/>
        </w:rPr>
      </w:pPr>
      <w:r>
        <w:rPr>
          <w:rFonts w:hint="eastAsia" w:ascii="宋体" w:hAnsi="宋体" w:cs="黑体"/>
          <w:bCs/>
        </w:rPr>
        <w:t>审    核：</w:t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 xml:space="preserve">            </w:t>
      </w:r>
      <w:r>
        <w:rPr>
          <w:rFonts w:hint="eastAsia" w:ascii="宋体" w:hAnsi="宋体" w:cs="黑体"/>
          <w:bCs/>
          <w:u w:val="single"/>
          <w:lang w:val="en-US" w:eastAsia="zh-CN"/>
        </w:rPr>
        <w:t xml:space="preserve"> </w:t>
      </w:r>
      <w:r>
        <w:rPr>
          <w:rFonts w:hint="eastAsia" w:ascii="宋体" w:hAnsi="宋体" w:cs="黑体"/>
          <w:bCs/>
          <w:lang w:val="en-US" w:eastAsia="zh-CN"/>
        </w:rPr>
        <w:t xml:space="preserve">    </w:t>
      </w:r>
      <w:r>
        <w:rPr>
          <w:rFonts w:hint="eastAsia" w:ascii="宋体" w:hAnsi="宋体" w:cs="黑体"/>
          <w:bCs/>
        </w:rPr>
        <w:t>批    准：</w:t>
      </w:r>
      <w:r>
        <w:rPr>
          <w:rFonts w:hint="eastAsia" w:ascii="宋体" w:hAnsi="宋体" w:cs="黑体"/>
          <w:bCs/>
          <w:u w:val="single"/>
        </w:rPr>
        <w:t xml:space="preserve">                 </w:t>
      </w:r>
      <w:r>
        <w:rPr>
          <w:rFonts w:hint="eastAsia" w:ascii="宋体" w:hAnsi="宋体" w:cs="黑体"/>
          <w:bCs/>
          <w:u w:val="single"/>
          <w:lang w:val="en-US" w:eastAsia="zh-CN"/>
        </w:rPr>
        <w:t xml:space="preserve">  </w:t>
      </w:r>
      <w:r>
        <w:rPr>
          <w:rFonts w:hint="eastAsia" w:ascii="宋体" w:hAnsi="宋体" w:cs="黑体"/>
          <w:bCs/>
          <w:u w:val="single"/>
        </w:rPr>
        <w:t xml:space="preserve">       </w:t>
      </w:r>
    </w:p>
    <w:p>
      <w:pPr>
        <w:jc w:val="both"/>
        <w:rPr>
          <w:rFonts w:hint="eastAsia" w:ascii="宋体" w:hAnsi="宋体" w:cs="黑体"/>
          <w:bCs/>
          <w:u w:val="single"/>
        </w:rPr>
      </w:pPr>
      <w:r>
        <w:rPr>
          <w:rFonts w:hint="eastAsia" w:ascii="宋体" w:hAnsi="宋体" w:cs="黑体"/>
          <w:bCs/>
        </w:rPr>
        <w:t>生 效 日 期：</w:t>
      </w:r>
      <w:r>
        <w:rPr>
          <w:rFonts w:hint="eastAsia"/>
          <w:bCs/>
          <w:u w:val="single"/>
        </w:rPr>
        <w:t xml:space="preserve">        </w:t>
      </w:r>
      <w:r>
        <w:rPr>
          <w:rFonts w:hint="eastAsia" w:ascii="宋体" w:hAnsi="宋体" w:cs="黑体"/>
          <w:bCs/>
          <w:u w:val="single"/>
        </w:rPr>
        <w:t xml:space="preserve">                    </w:t>
      </w:r>
      <w:r>
        <w:rPr>
          <w:rFonts w:hint="eastAsia" w:ascii="宋体" w:hAnsi="宋体" w:cs="黑体"/>
          <w:bCs/>
          <w:u w:val="single"/>
          <w:lang w:val="en-US" w:eastAsia="zh-CN"/>
        </w:rPr>
        <w:t xml:space="preserve">     </w:t>
      </w:r>
      <w:r>
        <w:rPr>
          <w:rFonts w:hint="eastAsia" w:ascii="宋体" w:hAnsi="宋体" w:cs="黑体"/>
          <w:bCs/>
          <w:u w:val="single"/>
        </w:rPr>
        <w:t xml:space="preserve">                          </w:t>
      </w:r>
    </w:p>
    <w:p>
      <w:pPr>
        <w:jc w:val="both"/>
        <w:rPr>
          <w:rFonts w:hint="eastAsia" w:ascii="宋体" w:hAnsi="宋体" w:cs="黑体"/>
          <w:bCs/>
          <w:u w:val="single"/>
        </w:rPr>
      </w:pPr>
    </w:p>
    <w:tbl>
      <w:tblPr>
        <w:tblStyle w:val="14"/>
        <w:tblW w:w="84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1701"/>
        <w:gridCol w:w="1559"/>
        <w:gridCol w:w="1559"/>
        <w:gridCol w:w="2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版本号</w:t>
            </w:r>
          </w:p>
        </w:tc>
        <w:tc>
          <w:tcPr>
            <w:tcW w:w="1701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修订日期</w:t>
            </w:r>
          </w:p>
        </w:tc>
        <w:tc>
          <w:tcPr>
            <w:tcW w:w="1559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修订人</w:t>
            </w:r>
          </w:p>
        </w:tc>
        <w:tc>
          <w:tcPr>
            <w:tcW w:w="1559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修订状态</w:t>
            </w:r>
          </w:p>
        </w:tc>
        <w:tc>
          <w:tcPr>
            <w:tcW w:w="2246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1.0.0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2017/9/18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李伟民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224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新建需求文档</w:t>
            </w:r>
          </w:p>
        </w:tc>
      </w:tr>
    </w:tbl>
    <w:p>
      <w:pPr>
        <w:spacing w:after="156" w:afterLines="50" w:line="360" w:lineRule="auto"/>
        <w:rPr>
          <w:rFonts w:ascii="宋体" w:hAnsi="宋体" w:cs="宋体"/>
        </w:rPr>
      </w:pPr>
      <w:r>
        <w:rPr>
          <w:rFonts w:hint="eastAsia" w:ascii="宋体" w:hAnsi="宋体" w:cs="宋体"/>
          <w:color w:val="000000"/>
        </w:rPr>
        <w:t>修订</w:t>
      </w:r>
      <w:r>
        <w:rPr>
          <w:rFonts w:hint="eastAsia" w:ascii="宋体" w:hAnsi="宋体" w:cs="宋体"/>
        </w:rPr>
        <w:t>状态：A--增加，M--修改，D--删除</w:t>
      </w:r>
    </w:p>
    <w:p>
      <w:pPr>
        <w:spacing w:after="156" w:afterLines="50"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日期格式：YYYY-MM-DD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5" w:name="_GoBack"/>
      <w:bookmarkEnd w:id="25"/>
      <w:bookmarkStart w:id="2" w:name="_Toc12456"/>
      <w:bookmarkStart w:id="3" w:name="_Toc31455"/>
      <w:r>
        <w:rPr>
          <w:rFonts w:hint="eastAsia"/>
          <w:lang w:val="en-US" w:eastAsia="zh-CN"/>
        </w:rPr>
        <w:t>目录</w:t>
      </w:r>
      <w:bookmarkEnd w:id="2"/>
      <w:bookmarkEnd w:id="3"/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"1-5"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_Toc24708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MPGSV2.2.0</w:t>
      </w:r>
      <w:r>
        <w:tab/>
      </w:r>
      <w:r>
        <w:fldChar w:fldCharType="begin"/>
      </w:r>
      <w:r>
        <w:instrText xml:space="preserve"> PAGEREF _Toc24708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_Toc31455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目的</w:t>
      </w:r>
      <w:r>
        <w:tab/>
      </w:r>
      <w:r>
        <w:fldChar w:fldCharType="begin"/>
      </w:r>
      <w:r>
        <w:instrText xml:space="preserve"> PAGEREF _Toc2231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_Toc13408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背景</w:t>
      </w:r>
      <w:r>
        <w:tab/>
      </w:r>
      <w:r>
        <w:fldChar w:fldCharType="begin"/>
      </w:r>
      <w:r>
        <w:instrText xml:space="preserve"> PAGEREF _Toc13408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_Toc11778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目的</w:t>
      </w:r>
      <w:r>
        <w:tab/>
      </w:r>
      <w:r>
        <w:fldChar w:fldCharType="begin"/>
      </w:r>
      <w:r>
        <w:instrText xml:space="preserve"> PAGEREF _Toc11778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_Toc5817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具体需求内容</w:t>
      </w:r>
      <w:r>
        <w:tab/>
      </w:r>
      <w:r>
        <w:fldChar w:fldCharType="begin"/>
      </w:r>
      <w:r>
        <w:instrText xml:space="preserve"> PAGEREF _Toc5817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功能点</w:t>
      </w:r>
      <w:r>
        <w:tab/>
      </w:r>
      <w:r>
        <w:fldChar w:fldCharType="begin"/>
      </w:r>
      <w:r>
        <w:instrText xml:space="preserve"> PAGEREF _Toc14704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总体功能点</w:t>
      </w:r>
      <w:r>
        <w:tab/>
      </w:r>
      <w:r>
        <w:fldChar w:fldCharType="begin"/>
      </w:r>
      <w:r>
        <w:instrText xml:space="preserve"> PAGEREF _Toc24996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版本功能点（V2.2.0）</w:t>
      </w:r>
      <w:r>
        <w:tab/>
      </w:r>
      <w:r>
        <w:fldChar w:fldCharType="begin"/>
      </w:r>
      <w:r>
        <w:instrText xml:space="preserve"> PAGEREF _Toc815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_Toc11918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2.1.2.1. </w:t>
      </w:r>
      <w:r>
        <w:rPr>
          <w:rFonts w:hint="eastAsia"/>
          <w:lang w:val="en-US" w:eastAsia="zh-CN"/>
        </w:rPr>
        <w:t>功能结构图</w:t>
      </w:r>
      <w:r>
        <w:tab/>
      </w:r>
      <w:r>
        <w:fldChar w:fldCharType="begin"/>
      </w:r>
      <w:r>
        <w:instrText xml:space="preserve"> PAGEREF _Toc11918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_Toc8476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 </w:t>
      </w:r>
      <w:r>
        <w:rPr>
          <w:rFonts w:hint="eastAsia"/>
          <w:lang w:val="en-US" w:eastAsia="zh-CN"/>
        </w:rPr>
        <w:t>功能点描述</w:t>
      </w:r>
      <w:r>
        <w:tab/>
      </w:r>
      <w:r>
        <w:fldChar w:fldCharType="begin"/>
      </w:r>
      <w:r>
        <w:instrText xml:space="preserve"> PAGEREF _Toc8476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2.1.3.1. </w:t>
      </w:r>
      <w:r>
        <w:rPr>
          <w:rFonts w:hint="eastAsia"/>
          <w:lang w:val="en-US" w:eastAsia="zh-CN"/>
        </w:rPr>
        <w:t>手机寻车</w:t>
      </w:r>
      <w:r>
        <w:tab/>
      </w:r>
      <w:r>
        <w:fldChar w:fldCharType="begin"/>
      </w:r>
      <w:r>
        <w:instrText xml:space="preserve"> PAGEREF _Toc15712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_Toc22270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2.1.3.2. </w:t>
      </w:r>
      <w:r>
        <w:rPr>
          <w:rFonts w:hint="eastAsia"/>
          <w:lang w:val="en-US" w:eastAsia="zh-CN"/>
        </w:rPr>
        <w:t>区域枪</w:t>
      </w:r>
      <w:r>
        <w:tab/>
      </w:r>
      <w:r>
        <w:fldChar w:fldCharType="begin"/>
      </w:r>
      <w:r>
        <w:instrText xml:space="preserve"> PAGEREF _Toc22270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2.1.3.3. </w:t>
      </w:r>
      <w:r>
        <w:rPr>
          <w:rFonts w:hint="eastAsia"/>
          <w:lang w:val="en-US" w:eastAsia="zh-CN"/>
        </w:rPr>
        <w:t>地磁集成</w:t>
      </w:r>
      <w:r>
        <w:tab/>
      </w:r>
      <w:r>
        <w:fldChar w:fldCharType="begin"/>
      </w:r>
      <w:r>
        <w:instrText xml:space="preserve"> PAGEREF _Toc8280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_Toc7520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2.1.3.4. </w:t>
      </w:r>
      <w:r>
        <w:rPr>
          <w:rFonts w:hint="eastAsia"/>
          <w:lang w:val="en-US" w:eastAsia="zh-CN"/>
        </w:rPr>
        <w:t>前后端识别集成</w:t>
      </w:r>
      <w:r>
        <w:tab/>
      </w:r>
      <w:r>
        <w:fldChar w:fldCharType="begin"/>
      </w:r>
      <w:r>
        <w:instrText xml:space="preserve"> PAGEREF _Toc7520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2.1.3.5. </w:t>
      </w:r>
      <w:r>
        <w:rPr>
          <w:rFonts w:hint="eastAsia"/>
          <w:lang w:val="en-US" w:eastAsia="zh-CN"/>
        </w:rPr>
        <w:t>标准接口</w:t>
      </w:r>
      <w:r>
        <w:tab/>
      </w:r>
      <w:r>
        <w:fldChar w:fldCharType="begin"/>
      </w:r>
      <w:r>
        <w:instrText xml:space="preserve"> PAGEREF _Toc2035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2.1.3.6. </w:t>
      </w:r>
      <w:r>
        <w:rPr>
          <w:rFonts w:hint="eastAsia"/>
          <w:lang w:val="en-US" w:eastAsia="zh-CN"/>
        </w:rPr>
        <w:t>非功能性需求</w:t>
      </w:r>
      <w:r>
        <w:tab/>
      </w:r>
      <w:r>
        <w:fldChar w:fldCharType="begin"/>
      </w:r>
      <w:r>
        <w:instrText xml:space="preserve"> PAGEREF _Toc7269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end"/>
      </w:r>
    </w:p>
    <w:p>
      <w:pPr>
        <w:pStyle w:val="3"/>
        <w:ind w:left="425" w:leftChars="0" w:hanging="425" w:firstLineChars="0"/>
        <w:rPr>
          <w:rFonts w:hint="eastAsia"/>
          <w:lang w:val="en-US" w:eastAsia="zh-CN"/>
        </w:rPr>
      </w:pPr>
      <w:bookmarkStart w:id="4" w:name="_Toc2143"/>
      <w:bookmarkStart w:id="5" w:name="_Toc2231"/>
      <w:r>
        <w:rPr>
          <w:rFonts w:hint="eastAsia"/>
          <w:lang w:val="en-US" w:eastAsia="zh-CN"/>
        </w:rPr>
        <w:t>目的</w:t>
      </w:r>
      <w:bookmarkEnd w:id="4"/>
      <w:bookmarkEnd w:id="5"/>
    </w:p>
    <w:p>
      <w:pPr>
        <w:pStyle w:val="4"/>
        <w:ind w:left="567" w:leftChars="0" w:hanging="567" w:firstLineChars="0"/>
        <w:rPr>
          <w:rFonts w:hint="eastAsia"/>
          <w:lang w:val="en-US" w:eastAsia="zh-CN"/>
        </w:rPr>
      </w:pPr>
      <w:bookmarkStart w:id="6" w:name="_Toc15109"/>
      <w:bookmarkStart w:id="7" w:name="_Toc13408"/>
      <w:r>
        <w:rPr>
          <w:rFonts w:hint="eastAsia"/>
          <w:lang w:val="en-US" w:eastAsia="zh-CN"/>
        </w:rPr>
        <w:t>背景</w:t>
      </w:r>
      <w:bookmarkEnd w:id="6"/>
      <w:bookmarkEnd w:id="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MPGS系统模块和功能目前还不够完善。</w:t>
      </w:r>
    </w:p>
    <w:p>
      <w:pPr>
        <w:pStyle w:val="4"/>
        <w:ind w:left="567" w:leftChars="0" w:hanging="567" w:firstLineChars="0"/>
        <w:rPr>
          <w:rFonts w:hint="eastAsia"/>
          <w:lang w:val="en-US" w:eastAsia="zh-CN"/>
        </w:rPr>
      </w:pPr>
      <w:bookmarkStart w:id="8" w:name="_Toc20322"/>
      <w:bookmarkStart w:id="9" w:name="_Toc11778"/>
      <w:r>
        <w:rPr>
          <w:rFonts w:hint="eastAsia"/>
          <w:lang w:val="en-US" w:eastAsia="zh-CN"/>
        </w:rPr>
        <w:t>目的</w:t>
      </w:r>
      <w:bookmarkEnd w:id="8"/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进一步完善MPGS系统，增加手机寻车，区域进出逻辑等。</w:t>
      </w:r>
    </w:p>
    <w:p>
      <w:pPr>
        <w:pStyle w:val="3"/>
        <w:ind w:left="425" w:leftChars="0" w:hanging="425" w:firstLineChars="0"/>
        <w:rPr>
          <w:rFonts w:hint="eastAsia"/>
          <w:lang w:val="en-US" w:eastAsia="zh-CN"/>
        </w:rPr>
      </w:pPr>
      <w:bookmarkStart w:id="10" w:name="_Toc16460"/>
      <w:bookmarkStart w:id="11" w:name="_Toc5817"/>
      <w:r>
        <w:rPr>
          <w:rFonts w:hint="eastAsia"/>
          <w:lang w:val="en-US" w:eastAsia="zh-CN"/>
        </w:rPr>
        <w:t>具体需求内容</w:t>
      </w:r>
      <w:bookmarkEnd w:id="10"/>
      <w:bookmarkEnd w:id="11"/>
    </w:p>
    <w:p>
      <w:pPr>
        <w:pStyle w:val="4"/>
        <w:ind w:left="567" w:leftChars="0" w:hanging="567" w:firstLineChars="0"/>
        <w:rPr>
          <w:rFonts w:hint="eastAsia"/>
          <w:lang w:val="en-US" w:eastAsia="zh-CN"/>
        </w:rPr>
      </w:pPr>
      <w:bookmarkStart w:id="12" w:name="_Toc2749"/>
      <w:bookmarkStart w:id="13" w:name="_Toc14704"/>
      <w:r>
        <w:rPr>
          <w:rFonts w:hint="eastAsia"/>
          <w:lang w:val="en-US" w:eastAsia="zh-CN"/>
        </w:rPr>
        <w:t>功能点</w:t>
      </w:r>
      <w:bookmarkEnd w:id="12"/>
      <w:bookmarkEnd w:id="13"/>
    </w:p>
    <w:p>
      <w:pPr>
        <w:pStyle w:val="5"/>
        <w:rPr>
          <w:rFonts w:hint="eastAsia"/>
          <w:lang w:val="en-US" w:eastAsia="zh-CN"/>
        </w:rPr>
      </w:pPr>
      <w:bookmarkStart w:id="14" w:name="_Toc24996"/>
      <w:r>
        <w:rPr>
          <w:rFonts w:hint="eastAsia"/>
          <w:lang w:val="en-US" w:eastAsia="zh-CN"/>
        </w:rPr>
        <w:t>总体功能点</w:t>
      </w:r>
      <w:bookmarkEnd w:id="14"/>
    </w:p>
    <w:p>
      <w:pPr>
        <w:pStyle w:val="5"/>
        <w:rPr>
          <w:rFonts w:hint="eastAsia"/>
          <w:lang w:val="en-US" w:eastAsia="zh-CN"/>
        </w:rPr>
      </w:pPr>
      <w:bookmarkStart w:id="15" w:name="_Toc815"/>
      <w:r>
        <w:rPr>
          <w:rFonts w:hint="eastAsia"/>
          <w:lang w:val="en-US" w:eastAsia="zh-CN"/>
        </w:rPr>
        <w:t>版本功能点（V2.2.0）</w:t>
      </w:r>
      <w:bookmarkEnd w:id="15"/>
    </w:p>
    <w:p>
      <w:pPr>
        <w:pStyle w:val="6"/>
        <w:rPr>
          <w:rFonts w:hint="eastAsia"/>
          <w:lang w:val="en-US" w:eastAsia="zh-CN"/>
        </w:rPr>
      </w:pPr>
      <w:bookmarkStart w:id="16" w:name="_Toc11918"/>
      <w:r>
        <w:rPr>
          <w:rFonts w:hint="eastAsia"/>
          <w:lang w:val="en-US" w:eastAsia="zh-CN"/>
        </w:rPr>
        <w:t>功能结构图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06.45pt;width:378.2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Picture.PicObj.1" ShapeID="_x0000_i1025" DrawAspect="Content" ObjectID="_1468075725" r:id="rId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7" w:name="_Toc8476"/>
      <w:r>
        <w:rPr>
          <w:rFonts w:hint="eastAsia"/>
          <w:lang w:val="en-US" w:eastAsia="zh-CN"/>
        </w:rPr>
        <w:t>功能点描述</w:t>
      </w:r>
      <w:bookmarkEnd w:id="17"/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18" w:name="_Toc15712"/>
      <w:r>
        <w:rPr>
          <w:rFonts w:hint="eastAsia"/>
          <w:lang w:val="en-US" w:eastAsia="zh-CN"/>
        </w:rPr>
        <w:t>手机寻车</w:t>
      </w:r>
      <w:bookmarkEnd w:id="18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object>
          <v:shape id="_x0000_i1026" o:spt="75" type="#_x0000_t75" style="height:230.35pt;width:415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Picture.PicObj.1" ShapeID="_x0000_i1026" DrawAspect="Content" ObjectID="_1468075726" r:id="rId6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object>
          <v:shape id="_x0000_i1027" o:spt="75" type="#_x0000_t75" style="height:224.6pt;width:415.2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Picture.PicObj.1" ShapeID="_x0000_i1027" DrawAspect="Content" ObjectID="_1468075727" r:id="rId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object>
          <v:shape id="_x0000_i1028" o:spt="75" type="#_x0000_t75" style="height:228.3pt;width:414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Picture.PicObj.1" ShapeID="_x0000_i1028" DrawAspect="Content" ObjectID="_1468075728" r:id="rId1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object>
          <v:shape id="_x0000_i1029" o:spt="75" type="#_x0000_t75" style="height:227.05pt;width:180.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Picture.PicObj.1" ShapeID="_x0000_i1029" DrawAspect="Content" ObjectID="_1468075729" r:id="rId1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716020"/>
            <wp:effectExtent l="0" t="0" r="11430" b="17780"/>
            <wp:docPr id="2" name="图片 2" descr="寻车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寻车流程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寻车页面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用户搜索自己的车辆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手机寻车界面1-1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停车详情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文本，图像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后台数据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展示车辆进场信息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手机寻车界面2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检查开启蓝牙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用户手机系统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程序自动检查手机是否开启蓝牙，没有的话，引导用户打开手机蓝牙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检查停车场是否支持蓝牙定位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用户手机系统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程序自动检查停车场是否支持蓝牙定位，支持则自动定位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手机寻车界面3-1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确定寻车的起点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 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停车场支持蓝牙定位，定位到车位，用户可以选择定位的车位寻车或者手动模糊搜索附近车位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手机寻车界面3-2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确定寻车的起点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 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停车场不支持蓝牙定位，手动模糊搜索附近车位确定寻车起点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手机寻车界面4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寻车结果页面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文本，图像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后台数据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展示车辆寻车路线，展示用户数据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车牌号码/时间/车位编号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车牌号码/车位编号大于3个字符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搜索车主车辆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手机寻车界面3-1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车位编号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不超过50个字符长度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搜索附近的车位编号，支持模糊搜索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手机寻车界面3-2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车位编号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不超过50个字符长度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搜索附近的车位编号，支持模糊搜索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查询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查询用户车辆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详情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展示停车详情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寻车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寻车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加载更多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加载更多结果集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手机寻车界面1-1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返回到寻车页面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返回到寻车页面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路线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寻车路线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查询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查询车位编号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手机寻车界面3-1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加载更多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加载更多结果集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手机寻车界面3-2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返回到寻车页面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手机寻车界面3-2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路线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寻车路线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手机寻车界面3-2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查询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查询车位编号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手机寻车界面3-2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加载更多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加载更多结果集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手机寻车界面4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返回到查找车位编号页面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bookmarkStart w:id="19" w:name="OLE_LINK1"/>
      <w:r>
        <w:rPr>
          <w:rFonts w:hint="eastAsia"/>
          <w:lang w:val="en-US" w:eastAsia="zh-CN"/>
        </w:rPr>
        <w:t>蓝牙定位说明</w:t>
      </w:r>
    </w:p>
    <w:bookmarkEnd w:id="19"/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H5页面打开手机蓝牙，获取当前广播的蓝牙信号，H5过滤这些数据，找到符合我们规则的蓝牙信号数据，如果没有符合规则的数据，则提示不支持停车场蓝牙定位.找到一个符合规则最强信号的蓝牙信号，将蓝牙广播的名字传输到后台,后台经过预先设计好的算法转成车位数据，返回停车位数据给前端。这样就能得到用户所在的车位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object>
          <v:shape id="_x0000_i1030" o:spt="75" type="#_x0000_t75" style="height:181.4pt;width:475.0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Picture.PicObj.1" ShapeID="_x0000_i1030" DrawAspect="Content" ObjectID="_1468075730" r:id="rId1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车位查询说明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车位查询为查询车位实时状态图片，后台需要调用一条指令到中间件系统，中间件系统调用设备摄像头抓取图片，主动上报给后台系统，后台系统更新车位图片数据。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寻车算法扩展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现有的寻车算法，只是支持寻车起点为查询机，电梯和区域灯，需要某个车位作为寻车算法的起点，扩展目前的算法逻辑。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手机寻车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车主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车主在手机页面进行蓝牙定位或者手输附近车位寻车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停车场提供访问普通车位访问地址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用户进入寻车页面寻车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寻车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restart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没有开启蓝牙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提示引导开启蓝牙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车场不支持蓝牙定位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提示不支持蓝牙定位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搜索不到附近车位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提示附近没有该车位编号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搜索不到车辆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提示查无记录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考虑国际化，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 xml:space="preserve">h5界面自动获取手机语言，自动展示不同的语言界面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0" w:name="_Toc22270"/>
      <w:r>
        <w:rPr>
          <w:rFonts w:hint="eastAsia"/>
          <w:lang w:val="en-US" w:eastAsia="zh-CN"/>
        </w:rPr>
        <w:t>区域枪</w:t>
      </w:r>
      <w:bookmarkEnd w:id="20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区域进出逻辑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414.1pt;width:531.6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Picture.PicObj.1" ShapeID="_x0000_i1031" DrawAspect="Content" ObjectID="_1468075731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567.75pt;width:351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Picture.PicObj.1" ShapeID="_x0000_i1032" DrawAspect="Content" ObjectID="_1468075732" r:id="rId1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区域反向寻车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寻车逻辑：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实现区域反向寻车，该区域需要在地图编辑器绑定一个区域灯的设备确定为寻车终点，用户在寻车界面进行寻车时候，找不到车位在场数据，会查询区域在场流水，确定车辆在某个区域中。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寻车页面原型(与原来页面保持一致)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211.7pt;width:415.1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Picture.PicObj.1" ShapeID="_x0000_i1033" DrawAspect="Content" ObjectID="_1468075733" r:id="rId2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特别说明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区域寻车过程中，如果存在区域数据重叠的情况，则采信最新一条(进入时间较晚)数据，引导的页面展示的是最新的一条数据</w:t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需要增加区域枪元素，后台需要增加处理区域枪的业务。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区域进出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程序自动处理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系统收到区域进出的数据，自动进行相应逻辑判断处理数据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区域进出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停车场有绑定区域进出设备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车辆区域进出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区域进出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超过区域限制最大数量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按流程图逻辑处理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1" w:name="_Toc8280"/>
      <w:r>
        <w:rPr>
          <w:rFonts w:hint="eastAsia"/>
          <w:lang w:val="en-US" w:eastAsia="zh-CN"/>
        </w:rPr>
        <w:t>地磁集成</w:t>
      </w:r>
      <w:bookmarkEnd w:id="21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185.95pt;width:41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Picture.PicObj.1" ShapeID="_x0000_i1034" DrawAspect="Content" ObjectID="_1468075734" r:id="rId2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需要增加地磁元素，后台需要增加处理地磁的业务。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地磁车位进出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程序自动处理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系统收到</w:t>
            </w: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地磁车位有车无车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的数据，自动进行相应逻辑判断处理数据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区域进出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车位上有安装地磁设备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地磁车位进出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地磁车位进出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2" w:name="_Toc7520"/>
      <w:r>
        <w:rPr>
          <w:rFonts w:hint="eastAsia"/>
          <w:lang w:val="en-US" w:eastAsia="zh-CN"/>
        </w:rPr>
        <w:t>前后端识别集成</w:t>
      </w:r>
      <w:bookmarkEnd w:id="22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硬件上报车牌数据，中间件利用图片结合已有算法进行完善车牌数据。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前后端识别探测器进出车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使用前后端识别的设备进行进出车，能否正常处理业务逻辑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车位进出车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使用前后端识别的设备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能正常处理业务逻辑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车位进出车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车位进出车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无法完善车牌数据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与正常进出车逻辑一致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ind w:left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3" w:name="_Toc2035"/>
      <w:r>
        <w:rPr>
          <w:rFonts w:hint="eastAsia"/>
          <w:lang w:val="en-US" w:eastAsia="zh-CN"/>
        </w:rPr>
        <w:t>标准接口</w:t>
      </w:r>
      <w:bookmarkEnd w:id="23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增加接口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获取停车场剩余车位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获取车位停放记录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4" w:name="_Toc7269"/>
      <w:r>
        <w:rPr>
          <w:rFonts w:hint="eastAsia"/>
          <w:lang w:val="en-US" w:eastAsia="zh-CN"/>
        </w:rPr>
        <w:t>非功能性需求</w:t>
      </w:r>
      <w:bookmarkEnd w:id="24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上一版本遗留的bug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地图编辑器反向寻车界面优化调整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优化进出车报表逻辑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4.大数据导出逻辑实现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5.视频探测器设备id，系统需要根据mac地址自动计算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6.地图编辑器实现国际化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39911"/>
    <w:multiLevelType w:val="multilevel"/>
    <w:tmpl w:val="58B39911"/>
    <w:lvl w:ilvl="0" w:tentative="0">
      <w:start w:val="1"/>
      <w:numFmt w:val="decimal"/>
      <w:pStyle w:val="3"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."/>
      <w:lvlJc w:val="left"/>
      <w:pPr>
        <w:ind w:left="709" w:leftChars="0" w:hanging="709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."/>
      <w:lvlJc w:val="left"/>
      <w:pPr>
        <w:ind w:left="850" w:leftChars="0" w:hanging="850" w:firstLineChars="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991" w:leftChars="0" w:hanging="991" w:firstLineChars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1">
    <w:nsid w:val="59C1E84A"/>
    <w:multiLevelType w:val="singleLevel"/>
    <w:tmpl w:val="59C1E84A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C201B9"/>
    <w:multiLevelType w:val="singleLevel"/>
    <w:tmpl w:val="59C201B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5D5DA2"/>
    <w:rsid w:val="00FE2B2A"/>
    <w:rsid w:val="016F5D43"/>
    <w:rsid w:val="026472DD"/>
    <w:rsid w:val="035F32C4"/>
    <w:rsid w:val="037A654D"/>
    <w:rsid w:val="0512527D"/>
    <w:rsid w:val="05247A37"/>
    <w:rsid w:val="056C6899"/>
    <w:rsid w:val="057B55E7"/>
    <w:rsid w:val="05A07FA7"/>
    <w:rsid w:val="073B2AE8"/>
    <w:rsid w:val="07AA70D7"/>
    <w:rsid w:val="08EB303A"/>
    <w:rsid w:val="0A0868FD"/>
    <w:rsid w:val="0BB22FC8"/>
    <w:rsid w:val="0E007336"/>
    <w:rsid w:val="0E7E4333"/>
    <w:rsid w:val="0EFA4211"/>
    <w:rsid w:val="0F5928B8"/>
    <w:rsid w:val="104E7F39"/>
    <w:rsid w:val="11561E65"/>
    <w:rsid w:val="12263C10"/>
    <w:rsid w:val="137C631F"/>
    <w:rsid w:val="15F957AA"/>
    <w:rsid w:val="17247190"/>
    <w:rsid w:val="18821CBE"/>
    <w:rsid w:val="19081D88"/>
    <w:rsid w:val="1A41695D"/>
    <w:rsid w:val="1AF91E6F"/>
    <w:rsid w:val="1F3645D2"/>
    <w:rsid w:val="216308D1"/>
    <w:rsid w:val="22F46A7B"/>
    <w:rsid w:val="23705340"/>
    <w:rsid w:val="255D5DA2"/>
    <w:rsid w:val="276D519E"/>
    <w:rsid w:val="27B10621"/>
    <w:rsid w:val="281716EE"/>
    <w:rsid w:val="28DD0F2F"/>
    <w:rsid w:val="29307EA1"/>
    <w:rsid w:val="2955655D"/>
    <w:rsid w:val="297A14FB"/>
    <w:rsid w:val="2A736FB6"/>
    <w:rsid w:val="2AB706D8"/>
    <w:rsid w:val="2AC504B8"/>
    <w:rsid w:val="2BE179C5"/>
    <w:rsid w:val="2BE410A2"/>
    <w:rsid w:val="2D264D45"/>
    <w:rsid w:val="2DBD0CC9"/>
    <w:rsid w:val="2DF5738C"/>
    <w:rsid w:val="2EFF156B"/>
    <w:rsid w:val="2FFC3CC7"/>
    <w:rsid w:val="30F41AB4"/>
    <w:rsid w:val="314D17F6"/>
    <w:rsid w:val="32653DEB"/>
    <w:rsid w:val="32E40514"/>
    <w:rsid w:val="331F4533"/>
    <w:rsid w:val="33BF53FF"/>
    <w:rsid w:val="3473797F"/>
    <w:rsid w:val="35F5689F"/>
    <w:rsid w:val="36F468A2"/>
    <w:rsid w:val="376D2490"/>
    <w:rsid w:val="38027AF5"/>
    <w:rsid w:val="38CE4575"/>
    <w:rsid w:val="39732C05"/>
    <w:rsid w:val="3A6C18C7"/>
    <w:rsid w:val="3A711E75"/>
    <w:rsid w:val="3B700310"/>
    <w:rsid w:val="3CA851C5"/>
    <w:rsid w:val="3CC31981"/>
    <w:rsid w:val="3E786CD4"/>
    <w:rsid w:val="4040278B"/>
    <w:rsid w:val="423603B5"/>
    <w:rsid w:val="4345184F"/>
    <w:rsid w:val="43912177"/>
    <w:rsid w:val="444F1927"/>
    <w:rsid w:val="449273C6"/>
    <w:rsid w:val="45916A80"/>
    <w:rsid w:val="49063153"/>
    <w:rsid w:val="4C194DC8"/>
    <w:rsid w:val="4E21793B"/>
    <w:rsid w:val="4EA46EB9"/>
    <w:rsid w:val="4EEC3D52"/>
    <w:rsid w:val="4F4E78C6"/>
    <w:rsid w:val="506943BB"/>
    <w:rsid w:val="51ED2221"/>
    <w:rsid w:val="53774FF6"/>
    <w:rsid w:val="55AB5691"/>
    <w:rsid w:val="56B55A1D"/>
    <w:rsid w:val="59662325"/>
    <w:rsid w:val="5AD413FE"/>
    <w:rsid w:val="5ADF47BD"/>
    <w:rsid w:val="5B1E3303"/>
    <w:rsid w:val="5B49052F"/>
    <w:rsid w:val="5C1D6BE6"/>
    <w:rsid w:val="5C26337B"/>
    <w:rsid w:val="5C791904"/>
    <w:rsid w:val="5CDB37DE"/>
    <w:rsid w:val="5E9F3358"/>
    <w:rsid w:val="5FA83EBB"/>
    <w:rsid w:val="60C4413B"/>
    <w:rsid w:val="611D2EF4"/>
    <w:rsid w:val="624036E1"/>
    <w:rsid w:val="64130776"/>
    <w:rsid w:val="657F30CB"/>
    <w:rsid w:val="6622285B"/>
    <w:rsid w:val="66391D26"/>
    <w:rsid w:val="671B25C1"/>
    <w:rsid w:val="6799409D"/>
    <w:rsid w:val="69C44A0C"/>
    <w:rsid w:val="6A240DB4"/>
    <w:rsid w:val="6C2B5CEB"/>
    <w:rsid w:val="6C974862"/>
    <w:rsid w:val="6D477F11"/>
    <w:rsid w:val="6DCF730B"/>
    <w:rsid w:val="6E392B49"/>
    <w:rsid w:val="6E860F16"/>
    <w:rsid w:val="6EDB71AB"/>
    <w:rsid w:val="6F2444F5"/>
    <w:rsid w:val="6F276B8A"/>
    <w:rsid w:val="6F470FAA"/>
    <w:rsid w:val="6F892E15"/>
    <w:rsid w:val="6FB54C32"/>
    <w:rsid w:val="6FF46A35"/>
    <w:rsid w:val="702B72B3"/>
    <w:rsid w:val="703E1533"/>
    <w:rsid w:val="70A365C9"/>
    <w:rsid w:val="70A56A79"/>
    <w:rsid w:val="71413B29"/>
    <w:rsid w:val="720E4435"/>
    <w:rsid w:val="724B457C"/>
    <w:rsid w:val="72B44C42"/>
    <w:rsid w:val="733668E9"/>
    <w:rsid w:val="735C20AF"/>
    <w:rsid w:val="737D68F9"/>
    <w:rsid w:val="73AE0CA2"/>
    <w:rsid w:val="754806D8"/>
    <w:rsid w:val="755C51A9"/>
    <w:rsid w:val="76207159"/>
    <w:rsid w:val="780462E8"/>
    <w:rsid w:val="7A3935DB"/>
    <w:rsid w:val="7AA7015B"/>
    <w:rsid w:val="7AC95182"/>
    <w:rsid w:val="7BA20952"/>
    <w:rsid w:val="7C881AEC"/>
    <w:rsid w:val="7DA92158"/>
    <w:rsid w:val="7F7679A8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ind w:left="425" w:hanging="42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80" w:beforeLines="0" w:beforeAutospacing="0" w:after="290" w:afterLines="0" w:afterAutospacing="0" w:line="372" w:lineRule="auto"/>
      <w:ind w:left="709" w:hanging="709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50" w:hanging="850"/>
      <w:outlineLvl w:val="4"/>
    </w:pPr>
    <w:rPr>
      <w:b/>
      <w:sz w:val="28"/>
    </w:rPr>
  </w:style>
  <w:style w:type="paragraph" w:styleId="7">
    <w:name w:val="heading 6"/>
    <w:basedOn w:val="1"/>
    <w:next w:val="1"/>
    <w:link w:val="17"/>
    <w:unhideWhenUsed/>
    <w:qFormat/>
    <w:uiPriority w:val="0"/>
    <w:pPr>
      <w:keepNext/>
      <w:keepLines/>
      <w:numPr>
        <w:ilvl w:val="4"/>
        <w:numId w:val="1"/>
      </w:numPr>
      <w:spacing w:before="240" w:beforeLines="0" w:beforeAutospacing="0" w:after="64" w:afterLines="0" w:afterAutospacing="0" w:line="317" w:lineRule="auto"/>
      <w:ind w:left="991" w:hanging="991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6">
    <w:name w:val="正文 New"/>
    <w:qFormat/>
    <w:uiPriority w:val="0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character" w:customStyle="1" w:styleId="17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wmf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png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2017-02-23T08:49:00Z</dcterms:created>
  <dc:creator>AKE</dc:creator>
  <cp:lastModifiedBy>AKE</cp:lastModifiedBy>
  <dcterms:modified xsi:type="dcterms:W3CDTF">2017-09-27T01:26:41Z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