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44"/>
          <w:szCs w:val="44"/>
          <w:lang w:val="en-US" w:eastAsia="zh-CN"/>
        </w:rPr>
      </w:pPr>
      <w:bookmarkStart w:id="0" w:name="_Toc9061"/>
      <w:r>
        <w:rPr>
          <w:rFonts w:hint="eastAsia" w:ascii="黑体" w:hAnsi="黑体" w:eastAsia="黑体" w:cs="黑体"/>
          <w:sz w:val="44"/>
          <w:szCs w:val="44"/>
          <w:lang w:val="en-US" w:eastAsia="zh-CN"/>
        </w:rPr>
        <w:t>自助缴费机</w:t>
      </w:r>
      <w:bookmarkEnd w:id="0"/>
      <w:r>
        <w:rPr>
          <w:rFonts w:hint="eastAsia" w:ascii="黑体" w:hAnsi="黑体" w:eastAsia="黑体" w:cs="黑体"/>
          <w:sz w:val="44"/>
          <w:szCs w:val="44"/>
          <w:lang w:val="en-US" w:eastAsia="zh-CN"/>
        </w:rPr>
        <w:t>0208功能优化</w:t>
      </w:r>
    </w:p>
    <w:p>
      <w:pPr>
        <w:jc w:val="both"/>
        <w:rPr>
          <w:rFonts w:hint="eastAsia"/>
          <w:bCs/>
          <w:u w:val="single"/>
        </w:rPr>
      </w:pPr>
      <w:bookmarkStart w:id="118" w:name="_GoBack"/>
      <w:bookmarkEnd w:id="118"/>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4"/>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自助缴费机0208功能优化</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4"/>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4"/>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自助缴费机0208功能优化</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4"/>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1" w:name="_Toc15308"/>
      <w:bookmarkStart w:id="2" w:name="_Toc21290"/>
      <w:bookmarkStart w:id="3" w:name="_Toc13422"/>
      <w:bookmarkStart w:id="4" w:name="_Toc29727"/>
      <w:r>
        <w:rPr>
          <w:rFonts w:hint="eastAsia" w:ascii="黑体" w:hAnsi="黑体" w:eastAsia="黑体" w:cs="黑体"/>
          <w:sz w:val="36"/>
          <w:szCs w:val="36"/>
          <w:lang w:val="en-US" w:eastAsia="zh-CN"/>
        </w:rPr>
        <w:t>修订记录</w:t>
      </w:r>
      <w:bookmarkEnd w:id="1"/>
      <w:bookmarkEnd w:id="2"/>
      <w:bookmarkEnd w:id="3"/>
      <w:bookmarkEnd w:id="4"/>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新建自助缴费机0105功能优化需求文档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5" w:name="_Toc21089"/>
      <w:bookmarkStart w:id="6" w:name="_Toc29388"/>
      <w:bookmarkStart w:id="7" w:name="_Toc1510"/>
      <w:r>
        <w:rPr>
          <w:rFonts w:hint="eastAsia" w:ascii="黑体" w:hAnsi="黑体" w:eastAsia="黑体" w:cs="黑体"/>
          <w:sz w:val="36"/>
          <w:szCs w:val="36"/>
          <w:lang w:val="en-US" w:eastAsia="zh-CN"/>
        </w:rPr>
        <w:t>目录</w:t>
      </w:r>
      <w:bookmarkEnd w:id="5"/>
      <w:bookmarkEnd w:id="6"/>
      <w:bookmarkEnd w:id="7"/>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_Toc9061 </w:instrText>
      </w:r>
      <w:r>
        <w:rPr>
          <w:rFonts w:hint="eastAsia"/>
          <w:lang w:val="en-US" w:eastAsia="zh-CN"/>
        </w:rPr>
        <w:fldChar w:fldCharType="separate"/>
      </w:r>
      <w:r>
        <w:rPr>
          <w:rFonts w:hint="eastAsia" w:ascii="黑体" w:hAnsi="黑体" w:eastAsia="黑体" w:cs="黑体"/>
          <w:szCs w:val="44"/>
          <w:lang w:val="en-US" w:eastAsia="zh-CN"/>
        </w:rPr>
        <w:t>自助缴费机0105功能优化</w:t>
      </w:r>
      <w:r>
        <w:tab/>
      </w:r>
      <w:r>
        <w:fldChar w:fldCharType="begin"/>
      </w:r>
      <w:r>
        <w:instrText xml:space="preserve"> PAGEREF _Toc9061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_Toc13422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_Toc13422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_Toc1510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_Toc1510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_Toc28144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_Toc28144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_Toc8685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_Toc8685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_Toc32085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_Toc32085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_Toc4594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_Toc4594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_Toc30924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_Toc30924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_Toc19095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_Toc19095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_Toc9436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_Toc9436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_Toc16142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_Toc16142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_Toc28071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_Toc28071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_Toc16830 </w:instrText>
      </w:r>
      <w:r>
        <w:rPr>
          <w:rFonts w:hint="eastAsia"/>
          <w:lang w:val="en-US" w:eastAsia="zh-CN"/>
        </w:rPr>
        <w:fldChar w:fldCharType="separate"/>
      </w:r>
      <w:r>
        <w:rPr>
          <w:rFonts w:hint="eastAsia" w:ascii="黑体" w:hAnsi="黑体" w:eastAsia="黑体" w:cs="黑体"/>
          <w:szCs w:val="30"/>
          <w:lang w:val="en-US" w:eastAsia="zh-CN"/>
        </w:rPr>
        <w:t>3.2.1广告页面滚动条告警</w:t>
      </w:r>
      <w:r>
        <w:tab/>
      </w:r>
      <w:r>
        <w:fldChar w:fldCharType="begin"/>
      </w:r>
      <w:r>
        <w:instrText xml:space="preserve"> PAGEREF _Toc16830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_Toc24450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_Toc19213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_Toc16660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_Toc24440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_Toc17300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_Toc17300 </w:instrText>
      </w:r>
      <w:r>
        <w:fldChar w:fldCharType="separate"/>
      </w:r>
      <w:r>
        <w:t>10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_Toc22362 </w:instrText>
      </w:r>
      <w:r>
        <w:rPr>
          <w:rFonts w:hint="eastAsia"/>
          <w:lang w:val="en-US" w:eastAsia="zh-CN"/>
        </w:rPr>
        <w:fldChar w:fldCharType="separate"/>
      </w:r>
      <w:r>
        <w:rPr>
          <w:rFonts w:hint="eastAsia" w:ascii="黑体" w:hAnsi="黑体" w:eastAsia="黑体" w:cs="黑体"/>
          <w:szCs w:val="30"/>
          <w:lang w:val="en-US" w:eastAsia="zh-CN"/>
        </w:rPr>
        <w:t>3.2.2基本信息配置优化</w:t>
      </w:r>
      <w:r>
        <w:tab/>
      </w:r>
      <w:r>
        <w:fldChar w:fldCharType="begin"/>
      </w:r>
      <w:r>
        <w:instrText xml:space="preserve"> PAGEREF _Toc22362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_Toc8679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_Toc7706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_Toc7706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_Toc3490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_Toc27542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_Toc27542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_Toc326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_Toc20990 </w:instrText>
      </w:r>
      <w:r>
        <w:rPr>
          <w:rFonts w:hint="eastAsia"/>
          <w:lang w:val="en-US" w:eastAsia="zh-CN"/>
        </w:rPr>
        <w:fldChar w:fldCharType="separate"/>
      </w:r>
      <w:r>
        <w:rPr>
          <w:rFonts w:hint="eastAsia" w:ascii="黑体" w:hAnsi="黑体" w:eastAsia="黑体" w:cs="黑体"/>
          <w:szCs w:val="30"/>
          <w:lang w:val="en-US" w:eastAsia="zh-CN"/>
        </w:rPr>
        <w:t>3.2.3修改服务设置模块页面</w:t>
      </w:r>
      <w:r>
        <w:tab/>
      </w:r>
      <w:r>
        <w:fldChar w:fldCharType="begin"/>
      </w:r>
      <w:r>
        <w:instrText xml:space="preserve"> PAGEREF _Toc20990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_Toc2351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_Toc2946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_Toc24835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_Toc24835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_Toc3715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_Toc29100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_Toc29100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_Toc25632 </w:instrText>
      </w:r>
      <w:r>
        <w:rPr>
          <w:rFonts w:hint="eastAsia"/>
          <w:lang w:val="en-US" w:eastAsia="zh-CN"/>
        </w:rPr>
        <w:fldChar w:fldCharType="separate"/>
      </w:r>
      <w:r>
        <w:rPr>
          <w:rFonts w:hint="eastAsia" w:ascii="黑体" w:hAnsi="黑体" w:eastAsia="黑体" w:cs="黑体"/>
          <w:szCs w:val="30"/>
          <w:lang w:val="en-US" w:eastAsia="zh-CN"/>
        </w:rPr>
        <w:t>3.2.4去掉账户管理的用户密码</w:t>
      </w:r>
      <w:r>
        <w:tab/>
      </w:r>
      <w:r>
        <w:fldChar w:fldCharType="begin"/>
      </w:r>
      <w:r>
        <w:instrText xml:space="preserve"> PAGEREF _Toc25632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_Toc23593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_Toc23638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_Toc23638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_Toc24488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_Toc21525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_Toc7636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_Toc7636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_Toc9456 </w:instrText>
      </w:r>
      <w:r>
        <w:rPr>
          <w:rFonts w:hint="eastAsia"/>
          <w:lang w:val="en-US" w:eastAsia="zh-CN"/>
        </w:rPr>
        <w:fldChar w:fldCharType="separate"/>
      </w:r>
      <w:r>
        <w:rPr>
          <w:rFonts w:hint="eastAsia" w:ascii="黑体" w:hAnsi="黑体" w:eastAsia="黑体" w:cs="黑体"/>
          <w:szCs w:val="30"/>
          <w:lang w:val="en-US" w:eastAsia="zh-CN"/>
        </w:rPr>
        <w:t>3.2.5财务管理模块优化</w:t>
      </w:r>
      <w:r>
        <w:tab/>
      </w:r>
      <w:r>
        <w:fldChar w:fldCharType="begin"/>
      </w:r>
      <w:r>
        <w:instrText xml:space="preserve"> PAGEREF _Toc9456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_Toc5697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_Toc5697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_Toc21330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_Toc14918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_Toc14918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_Toc30560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_Toc17630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_Toc17630 </w:instrText>
      </w:r>
      <w:r>
        <w:fldChar w:fldCharType="separate"/>
      </w:r>
      <w:r>
        <w:t>22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_Toc32243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_Toc32243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_Toc7736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_Toc7736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_Toc2635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_Toc2635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_Toc4384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_Toc4384 </w:instrText>
      </w:r>
      <w:r>
        <w:fldChar w:fldCharType="separate"/>
      </w:r>
      <w:r>
        <w:t>23</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_Toc18023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_Toc18023 </w:instrText>
      </w:r>
      <w:r>
        <w:fldChar w:fldCharType="separate"/>
      </w:r>
      <w:r>
        <w:t>23</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_Toc2158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_Toc2158 </w:instrText>
      </w:r>
      <w:r>
        <w:fldChar w:fldCharType="separate"/>
      </w:r>
      <w:r>
        <w:t>24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8" w:name="_Toc23227"/>
      <w:bookmarkStart w:id="9" w:name="_Toc1909"/>
      <w:bookmarkStart w:id="10" w:name="_Toc28144"/>
      <w:bookmarkStart w:id="11" w:name="_Toc26893"/>
      <w:bookmarkStart w:id="12" w:name="_Toc28513"/>
      <w:bookmarkStart w:id="13" w:name="_Toc17589"/>
      <w:r>
        <w:rPr>
          <w:rFonts w:hint="eastAsia" w:ascii="黑体" w:hAnsi="黑体" w:eastAsia="黑体" w:cs="黑体"/>
          <w:b/>
          <w:bCs/>
          <w:color w:val="auto"/>
          <w:sz w:val="36"/>
          <w:szCs w:val="36"/>
          <w:lang w:val="en-US" w:eastAsia="zh-CN"/>
        </w:rPr>
        <w:t>全局说明</w:t>
      </w:r>
      <w:bookmarkEnd w:id="8"/>
      <w:bookmarkEnd w:id="9"/>
      <w:bookmarkEnd w:id="10"/>
      <w:bookmarkEnd w:id="11"/>
      <w:bookmarkEnd w:id="12"/>
      <w:bookmarkEnd w:id="13"/>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4" w:name="_Toc7778"/>
            <w:bookmarkStart w:id="15"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4"/>
      <w:bookmarkEnd w:id="15"/>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6" w:name="_Toc31429"/>
      <w:bookmarkStart w:id="17" w:name="_Toc9753"/>
      <w:bookmarkStart w:id="18" w:name="_Toc2143"/>
      <w:bookmarkStart w:id="19" w:name="_Toc8685"/>
      <w:bookmarkStart w:id="20" w:name="_Toc15886"/>
      <w:r>
        <w:rPr>
          <w:rFonts w:hint="eastAsia" w:ascii="黑体" w:hAnsi="黑体" w:eastAsia="黑体" w:cs="黑体"/>
          <w:lang w:val="en-US" w:eastAsia="zh-CN"/>
        </w:rPr>
        <w:t>1.目的</w:t>
      </w:r>
      <w:bookmarkEnd w:id="16"/>
      <w:bookmarkEnd w:id="17"/>
      <w:bookmarkEnd w:id="18"/>
      <w:bookmarkEnd w:id="19"/>
      <w:bookmarkEnd w:id="2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1" w:name="_Toc32085"/>
      <w:bookmarkStart w:id="22" w:name="_Toc15109"/>
      <w:bookmarkStart w:id="23" w:name="_Toc25502"/>
      <w:bookmarkStart w:id="24" w:name="_Toc5568"/>
      <w:bookmarkStart w:id="25" w:name="_Toc19106"/>
      <w:r>
        <w:rPr>
          <w:rFonts w:hint="eastAsia" w:ascii="黑体" w:hAnsi="黑体" w:eastAsia="黑体" w:cs="黑体"/>
          <w:lang w:val="en-US" w:eastAsia="zh-CN"/>
        </w:rPr>
        <w:t>1.1背景</w:t>
      </w:r>
      <w:bookmarkEnd w:id="21"/>
      <w:bookmarkEnd w:id="22"/>
      <w:bookmarkEnd w:id="23"/>
      <w:bookmarkEnd w:id="24"/>
      <w:bookmarkEnd w:id="25"/>
    </w:p>
    <w:p>
      <w:pPr>
        <w:rPr>
          <w:rFonts w:hint="eastAsia" w:ascii="黑体" w:hAnsi="黑体" w:eastAsia="黑体" w:cs="黑体"/>
          <w:lang w:val="en-US" w:eastAsia="zh-CN"/>
        </w:rPr>
      </w:pPr>
      <w:r>
        <w:rPr>
          <w:rFonts w:hint="eastAsia" w:ascii="黑体" w:hAnsi="黑体" w:eastAsia="黑体" w:cs="黑体"/>
          <w:lang w:val="en-US" w:eastAsia="zh-CN"/>
        </w:rPr>
        <w:t>自助缴费机系统模块和功能的迭代需求。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0322"/>
      <w:bookmarkStart w:id="27" w:name="_Toc4594"/>
      <w:bookmarkStart w:id="28" w:name="_Toc5256"/>
      <w:bookmarkStart w:id="29" w:name="_Toc10609"/>
      <w:bookmarkStart w:id="30" w:name="_Toc29668"/>
      <w:r>
        <w:rPr>
          <w:rFonts w:hint="eastAsia" w:ascii="黑体" w:hAnsi="黑体" w:eastAsia="黑体" w:cs="黑体"/>
          <w:szCs w:val="22"/>
          <w:lang w:val="en-US" w:eastAsia="zh-CN"/>
        </w:rPr>
        <w:t>1.2目的</w:t>
      </w:r>
      <w:bookmarkEnd w:id="26"/>
      <w:bookmarkEnd w:id="27"/>
      <w:bookmarkEnd w:id="28"/>
      <w:bookmarkEnd w:id="29"/>
      <w:bookmarkEnd w:id="30"/>
    </w:p>
    <w:p>
      <w:pPr>
        <w:rPr>
          <w:rFonts w:hint="eastAsia" w:ascii="黑体" w:hAnsi="黑体" w:eastAsia="黑体" w:cs="黑体"/>
          <w:lang w:val="en-US" w:eastAsia="zh-CN"/>
        </w:rPr>
      </w:pPr>
      <w:r>
        <w:rPr>
          <w:rFonts w:hint="eastAsia" w:ascii="黑体" w:hAnsi="黑体" w:eastAsia="黑体" w:cs="黑体"/>
          <w:lang w:val="en-US" w:eastAsia="zh-CN"/>
        </w:rPr>
        <w:t>进一步完善自助缴费机系统，减轻实施过程中的痛点。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24270"/>
      <w:bookmarkStart w:id="32" w:name="_Toc30924"/>
      <w:bookmarkStart w:id="33" w:name="_Toc23979"/>
      <w:bookmarkStart w:id="34" w:name="_Toc18131"/>
      <w:bookmarkStart w:id="35" w:name="_Toc10744"/>
      <w:r>
        <w:rPr>
          <w:rFonts w:hint="eastAsia" w:ascii="黑体" w:hAnsi="黑体" w:eastAsia="黑体" w:cs="黑体"/>
          <w:szCs w:val="22"/>
          <w:lang w:val="en-US" w:eastAsia="zh-CN"/>
        </w:rPr>
        <w:t>1.3需求描述与约定</w:t>
      </w:r>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6" w:name="_Toc10993"/>
      <w:bookmarkStart w:id="37" w:name="_Toc5709"/>
      <w:bookmarkStart w:id="38" w:name="_Toc26045"/>
      <w:bookmarkStart w:id="39" w:name="_Toc19095"/>
      <w:r>
        <w:rPr>
          <w:rFonts w:hint="eastAsia" w:ascii="黑体" w:hAnsi="黑体" w:eastAsia="黑体" w:cs="黑体"/>
          <w:szCs w:val="22"/>
          <w:lang w:val="en-US" w:eastAsia="zh-CN"/>
        </w:rPr>
        <w:t>2.关键业务流程</w:t>
      </w:r>
      <w:bookmarkEnd w:id="36"/>
      <w:bookmarkEnd w:id="37"/>
      <w:bookmarkEnd w:id="38"/>
      <w:bookmarkEnd w:id="39"/>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27684"/>
      <w:bookmarkStart w:id="41" w:name="_Toc2273"/>
      <w:bookmarkStart w:id="42" w:name="_Toc9436"/>
      <w:bookmarkStart w:id="43" w:name="_Toc13346"/>
      <w:bookmarkStart w:id="44" w:name="_Toc16460"/>
      <w:r>
        <w:rPr>
          <w:rFonts w:hint="eastAsia" w:ascii="黑体" w:hAnsi="黑体" w:eastAsia="黑体" w:cs="黑体"/>
          <w:szCs w:val="22"/>
          <w:lang w:val="en-US" w:eastAsia="zh-CN"/>
        </w:rPr>
        <w:t>3.具体需求内容</w:t>
      </w:r>
      <w:bookmarkEnd w:id="40"/>
      <w:bookmarkEnd w:id="41"/>
      <w:bookmarkEnd w:id="42"/>
      <w:bookmarkEnd w:id="43"/>
      <w:bookmarkEnd w:id="44"/>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22302"/>
      <w:bookmarkStart w:id="46" w:name="_Toc16142"/>
      <w:bookmarkStart w:id="47" w:name="_Toc2749"/>
      <w:bookmarkStart w:id="48" w:name="_Toc26890"/>
      <w:bookmarkStart w:id="49" w:name="_Toc12815"/>
      <w:r>
        <w:rPr>
          <w:rFonts w:hint="eastAsia" w:ascii="黑体" w:hAnsi="黑体" w:eastAsia="黑体" w:cs="黑体"/>
          <w:szCs w:val="22"/>
          <w:lang w:val="en-US" w:eastAsia="zh-CN"/>
        </w:rPr>
        <w:t>3.1总体功能点</w:t>
      </w:r>
      <w:bookmarkEnd w:id="45"/>
      <w:bookmarkEnd w:id="46"/>
      <w:bookmarkEnd w:id="47"/>
      <w:bookmarkEnd w:id="48"/>
      <w:bookmarkEnd w:id="49"/>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033770" cy="2425065"/>
            <wp:effectExtent l="0" t="0" r="11430" b="635"/>
            <wp:docPr id="3" name="图片 3" descr="E:\工作夹\AKE\2017\-产品\思维导图\自助缴费机\自助缴费机优化功能点.png自助缴费机优化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思维导图\自助缴费机\自助缴费机优化功能点.png自助缴费机优化功能点"/>
                    <pic:cNvPicPr>
                      <a:picLocks noChangeAspect="1"/>
                    </pic:cNvPicPr>
                  </pic:nvPicPr>
                  <pic:blipFill>
                    <a:blip r:embed="rId5"/>
                    <a:srcRect/>
                    <a:stretch>
                      <a:fillRect/>
                    </a:stretch>
                  </pic:blipFill>
                  <pic:spPr>
                    <a:xfrm>
                      <a:off x="0" y="0"/>
                      <a:ext cx="6033770" cy="242506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0" w:name="_Toc28071"/>
      <w:bookmarkStart w:id="51" w:name="_Toc8745"/>
      <w:bookmarkStart w:id="52" w:name="_Toc3212"/>
      <w:bookmarkStart w:id="53" w:name="_Toc28457"/>
      <w:r>
        <w:rPr>
          <w:rFonts w:hint="eastAsia" w:ascii="黑体" w:hAnsi="黑体" w:eastAsia="黑体" w:cs="黑体"/>
          <w:szCs w:val="22"/>
          <w:lang w:val="en-US" w:eastAsia="zh-CN"/>
        </w:rPr>
        <w:t>3.2功能点描述</w:t>
      </w:r>
      <w:bookmarkEnd w:id="50"/>
      <w:bookmarkEnd w:id="51"/>
      <w:bookmarkEnd w:id="52"/>
      <w:bookmarkEnd w:id="53"/>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4" w:name="_Toc516"/>
      <w:bookmarkStart w:id="55" w:name="_Toc4849"/>
      <w:bookmarkStart w:id="56" w:name="_Toc28219"/>
      <w:bookmarkStart w:id="57" w:name="_Toc16830"/>
      <w:r>
        <w:rPr>
          <w:rFonts w:hint="eastAsia" w:ascii="黑体" w:hAnsi="黑体" w:eastAsia="黑体" w:cs="黑体"/>
          <w:sz w:val="30"/>
          <w:szCs w:val="30"/>
          <w:lang w:val="en-US" w:eastAsia="zh-CN"/>
        </w:rPr>
        <w:t>3.2.1</w:t>
      </w:r>
      <w:bookmarkEnd w:id="54"/>
      <w:bookmarkEnd w:id="55"/>
      <w:bookmarkEnd w:id="56"/>
      <w:r>
        <w:rPr>
          <w:rFonts w:hint="eastAsia" w:ascii="黑体" w:hAnsi="黑体" w:eastAsia="黑体" w:cs="黑体"/>
          <w:sz w:val="30"/>
          <w:szCs w:val="30"/>
          <w:lang w:val="en-US" w:eastAsia="zh-CN"/>
        </w:rPr>
        <w:t>广告页面滚动条告警</w:t>
      </w:r>
      <w:bookmarkEnd w:id="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2445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（1）当自助缴费机设备存在故障时，在广告页面上方居中增加滚动条显示告警提示；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（2）不支持用户进行缴费支付操作。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1921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721350" cy="5460365"/>
            <wp:effectExtent l="0" t="0" r="6350" b="635"/>
            <wp:docPr id="4" name="图片 4" descr="1_广告页面错误告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_广告页面错误告警"/>
                    <pic:cNvPicPr>
                      <a:picLocks noChangeAspect="1"/>
                    </pic:cNvPicPr>
                  </pic:nvPicPr>
                  <pic:blipFill>
                    <a:blip r:embed="rId6"/>
                    <a:stretch>
                      <a:fillRect/>
                    </a:stretch>
                  </pic:blipFill>
                  <pic:spPr>
                    <a:xfrm>
                      <a:off x="0" y="0"/>
                      <a:ext cx="5721350" cy="54603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709285" cy="2647950"/>
            <wp:effectExtent l="0" t="0" r="5715" b="6350"/>
            <wp:docPr id="2" name="图片 2" descr="1_广告页面错误告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广告页面错误告警2"/>
                    <pic:cNvPicPr>
                      <a:picLocks noChangeAspect="1"/>
                    </pic:cNvPicPr>
                  </pic:nvPicPr>
                  <pic:blipFill>
                    <a:blip r:embed="rId7"/>
                    <a:stretch>
                      <a:fillRect/>
                    </a:stretch>
                  </pic:blipFill>
                  <pic:spPr>
                    <a:xfrm>
                      <a:off x="0" y="0"/>
                      <a:ext cx="5709285" cy="26479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（1）当自助缴费机出现设备故障时，在广告页面滚动显示故障原因，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（2）设备故障情况及显示内容如下：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设备故障：%HW初始化失败（通配符：%HW-硬件模块名称）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设备故障：硬币盒卡币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设备故障：纸币接收器卡币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设备故障：纸币找零器传感器异常</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设备故障：打印机机械错误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设备故障：票据纸耗尽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（3）设备故障时，依然支持用户使用缴费机进行寻车操作，但不支持缴费支付操作。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（4）用户进入到缴费页面时，“现金支付”“微信支付”和“支付宝支付”等支付按钮为灰度不可用状态，并在页面提示“当前设备存在故障，暂不支持缴费，敬请谅解！”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666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2444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1730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3" w:name="_Toc22362"/>
      <w:r>
        <w:rPr>
          <w:rFonts w:hint="eastAsia" w:ascii="黑体" w:hAnsi="黑体" w:eastAsia="黑体" w:cs="黑体"/>
          <w:sz w:val="30"/>
          <w:szCs w:val="30"/>
          <w:lang w:val="en-US" w:eastAsia="zh-CN"/>
        </w:rPr>
        <w:t>3.2.2基本信息配置优化</w:t>
      </w:r>
      <w:bookmarkEnd w:id="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867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（1）对基本信息页面进行优化；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（2）硬件设备设为可选；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（3）增加对单个设备的通信测试功能。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770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3195320"/>
            <wp:effectExtent l="0" t="0" r="1905" b="5080"/>
            <wp:docPr id="9" name="图片 9" descr="E:\工作夹\AKE\2017\-产品\原型导出图片\自助缴费机\0105功能优化\2_自助缴费机配置优化.png2_自助缴费机配置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工作夹\AKE\2017\-产品\原型导出图片\自助缴费机\0105功能优化\2_自助缴费机配置优化.png2_自助缴费机配置优化"/>
                    <pic:cNvPicPr>
                      <a:picLocks noChangeAspect="1"/>
                    </pic:cNvPicPr>
                  </pic:nvPicPr>
                  <pic:blipFill>
                    <a:blip r:embed="rId8"/>
                    <a:srcRect/>
                    <a:stretch>
                      <a:fillRect/>
                    </a:stretch>
                  </pic:blipFill>
                  <pic:spPr>
                    <a:xfrm>
                      <a:off x="0" y="0"/>
                      <a:ext cx="6182995" cy="31953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5848350"/>
            <wp:effectExtent l="0" t="0" r="9525" b="6350"/>
            <wp:docPr id="5" name="图片 5" descr="2_基本信息配置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_基本信息配置优化"/>
                    <pic:cNvPicPr>
                      <a:picLocks noChangeAspect="1"/>
                    </pic:cNvPicPr>
                  </pic:nvPicPr>
                  <pic:blipFill>
                    <a:blip r:embed="rId9"/>
                    <a:stretch>
                      <a:fillRect/>
                    </a:stretch>
                  </pic:blipFill>
                  <pic:spPr>
                    <a:xfrm>
                      <a:off x="0" y="0"/>
                      <a:ext cx="6188075" cy="58483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（1）“本机型号”的输入框更改为下拉框显示，数据来源为后台获取；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（2）硬件配置增加开关设置，型号和串口均更改为下拉框显示，数据来源为后台获取；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（3）硬件配置关闭时，型号和串口下拉框默认为禁用状态，不可点击，通信测试按钮为灰度不可点击状态；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（4）增加对每个硬件配置的“通信测试”，点击“通信测试”气泡弹窗提示通信测试结果，测试结果成功显示“设备正常”，测试结果失败显示“设备异常”，气泡弹窗在页面停留5秒后关闭；</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（5）点击“保存配置”为保存当前页所有配置。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34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54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32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9" w:name="_Toc20990"/>
      <w:r>
        <w:rPr>
          <w:rFonts w:hint="eastAsia" w:ascii="黑体" w:hAnsi="黑体" w:eastAsia="黑体" w:cs="黑体"/>
          <w:sz w:val="30"/>
          <w:szCs w:val="30"/>
          <w:lang w:val="en-US" w:eastAsia="zh-CN"/>
        </w:rPr>
        <w:t>3.2.3修改服务设置模块页面</w:t>
      </w:r>
      <w:bookmarkEnd w:id="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23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（1）寻车服务器兼容MPGS和PGS-SCS；</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（2）去掉配置服务器配置栏。</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294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5535" cy="2887345"/>
            <wp:effectExtent l="0" t="0" r="12065" b="8255"/>
            <wp:docPr id="12" name="图片 12" descr="3_自助缴费机寻车设备兼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_自助缴费机寻车设备兼容"/>
                    <pic:cNvPicPr>
                      <a:picLocks noChangeAspect="1"/>
                    </pic:cNvPicPr>
                  </pic:nvPicPr>
                  <pic:blipFill>
                    <a:blip r:embed="rId10"/>
                    <a:stretch>
                      <a:fillRect/>
                    </a:stretch>
                  </pic:blipFill>
                  <pic:spPr>
                    <a:xfrm>
                      <a:off x="0" y="0"/>
                      <a:ext cx="6185535" cy="28873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（1）去掉“配置服务器”配置栏；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（2）反向寻车服务器兼容MPGS和PGS-SCS，下拉框显示，默认显示MPGS。</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（3）点击“保存配置”保存当前页面所有配置。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483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71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910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5" w:name="_Toc25632"/>
      <w:r>
        <w:rPr>
          <w:rFonts w:hint="eastAsia" w:ascii="黑体" w:hAnsi="黑体" w:eastAsia="黑体" w:cs="黑体"/>
          <w:sz w:val="30"/>
          <w:szCs w:val="30"/>
          <w:lang w:val="en-US" w:eastAsia="zh-CN"/>
        </w:rPr>
        <w:t>3.2.4去掉账户管理的用户密码</w:t>
      </w:r>
      <w:bookmarkEnd w:id="7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359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当前场景：管理员登录配置系统完成相关配置后，退出返回游客模式时，需要输入用户账号。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363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5535" cy="2868930"/>
            <wp:effectExtent l="0" t="0" r="12065" b="1270"/>
            <wp:docPr id="13" name="图片 13" descr="4_去掉退出系统管理后的用户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_去掉退出系统管理后的用户密码"/>
                    <pic:cNvPicPr>
                      <a:picLocks noChangeAspect="1"/>
                    </pic:cNvPicPr>
                  </pic:nvPicPr>
                  <pic:blipFill>
                    <a:blip r:embed="rId11"/>
                    <a:stretch>
                      <a:fillRect/>
                    </a:stretch>
                  </pic:blipFill>
                  <pic:spPr>
                    <a:xfrm>
                      <a:off x="0" y="0"/>
                      <a:ext cx="6185535" cy="28689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（1）账户管理中去掉用户账户密码配置，；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（2）用户从管理模式切换回游客模式时,点击“退出”不再需要输入账号密码，直接跳转至自助缴费机广告页面，切换回游客模式。</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448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152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763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1" w:name="_Toc9456"/>
      <w:r>
        <w:rPr>
          <w:rFonts w:hint="eastAsia" w:ascii="黑体" w:hAnsi="黑体" w:eastAsia="黑体" w:cs="黑体"/>
          <w:sz w:val="30"/>
          <w:szCs w:val="30"/>
          <w:lang w:val="en-US" w:eastAsia="zh-CN"/>
        </w:rPr>
        <w:t>3.2.5财务管理模块优化</w:t>
      </w:r>
      <w:bookmarkEnd w:id="8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569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2"/>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增加财务操作流水模块；</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盘点模块重新定义流程；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（3）修改人工补币模块。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133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66485" cy="2838450"/>
            <wp:effectExtent l="0" t="0" r="5715" b="6350"/>
            <wp:docPr id="15" name="图片 15" descr="E:\工作夹\AKE\2017\-产品\原型导出图片\自助缴费机\0105功能优化\5_2财务管理模块-财务记录1.png5_2财务管理模块-财务记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工作夹\AKE\2017\-产品\原型导出图片\自助缴费机\0105功能优化\5_2财务管理模块-财务记录1.png5_2财务管理模块-财务记录1"/>
                    <pic:cNvPicPr>
                      <a:picLocks noChangeAspect="1"/>
                    </pic:cNvPicPr>
                  </pic:nvPicPr>
                  <pic:blipFill>
                    <a:blip r:embed="rId12"/>
                    <a:srcRect/>
                    <a:stretch>
                      <a:fillRect/>
                    </a:stretch>
                  </pic:blipFill>
                  <pic:spPr>
                    <a:xfrm>
                      <a:off x="0" y="0"/>
                      <a:ext cx="6166485" cy="28384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硬币器清盘：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点击弹出确认清盘弹窗，确认操作后清空硬币器，并同步财务记录，并生成操作流水。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340860" cy="2127250"/>
            <wp:effectExtent l="0" t="0" r="2540" b="6350"/>
            <wp:docPr id="20" name="图片 20" descr="硬币器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硬币器清盘"/>
                    <pic:cNvPicPr>
                      <a:picLocks noChangeAspect="1"/>
                    </pic:cNvPicPr>
                  </pic:nvPicPr>
                  <pic:blipFill>
                    <a:blip r:embed="rId13"/>
                    <a:stretch>
                      <a:fillRect/>
                    </a:stretch>
                  </pic:blipFill>
                  <pic:spPr>
                    <a:xfrm>
                      <a:off x="0" y="0"/>
                      <a:ext cx="4340860" cy="21272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硬币器取出: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（1）点击弹出硬币取出确认弹窗，用户填写取出硬币数量，确认操作后同步财务记录，并生成操作流水。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（2）用户填写数量应在0到当前硬币器所有的数量内，系统须在这一步做数量校验，超出当前币箱所有的数量时提示超出可取数量；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（3）用户填写数量后，在输入框后方显示剩余硬币数，如硬币器总数100，用户填写取出20，则显示剩余80枚;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（4）用户没有填写取出数量时，提示用户填写取出数量，限制进行下一步操作；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（5）用户确认操作后，同步财务记录，生成操作流水。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26000" cy="3721100"/>
            <wp:effectExtent l="0" t="0" r="0" b="0"/>
            <wp:docPr id="6" name="图片 6" descr="硬币器取出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硬币器取出确认"/>
                    <pic:cNvPicPr>
                      <a:picLocks noChangeAspect="1"/>
                    </pic:cNvPicPr>
                  </pic:nvPicPr>
                  <pic:blipFill>
                    <a:blip r:embed="rId14"/>
                    <a:stretch>
                      <a:fillRect/>
                    </a:stretch>
                  </pic:blipFill>
                  <pic:spPr>
                    <a:xfrm>
                      <a:off x="0" y="0"/>
                      <a:ext cx="4826000" cy="37211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收纸币器清盘：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点击弹出确认清盘弹窗，确认操作后清空收纸币器，并同步财务记录，并生成操作流水。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373120" cy="1701800"/>
            <wp:effectExtent l="0" t="0" r="5080" b="0"/>
            <wp:docPr id="22" name="图片 22" descr="收纸币器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收纸币器清盘"/>
                    <pic:cNvPicPr>
                      <a:picLocks noChangeAspect="1"/>
                    </pic:cNvPicPr>
                  </pic:nvPicPr>
                  <pic:blipFill>
                    <a:blip r:embed="rId15"/>
                    <a:stretch>
                      <a:fillRect/>
                    </a:stretch>
                  </pic:blipFill>
                  <pic:spPr>
                    <a:xfrm>
                      <a:off x="0" y="0"/>
                      <a:ext cx="3373120" cy="17018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退纸币器盘点：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（1）点击盘点，弹出盘点弹窗，显示机器盘点数量和人工盘点数量输入框。用户填写盘点数量后以人工盘点数量为准；如果用户未填写盘点数量，默认机器盘点的数量为人工盘点后的数量；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（2）确认：确认本次盘点操作，同步财务记录，生成盘点操作流水；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（3）取消：取消本次盘点操作，财务记录保持不变。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578475" cy="2874010"/>
            <wp:effectExtent l="0" t="0" r="9525" b="8890"/>
            <wp:docPr id="23" name="图片 23" descr="退纸币器盘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退纸币器盘点"/>
                    <pic:cNvPicPr>
                      <a:picLocks noChangeAspect="1"/>
                    </pic:cNvPicPr>
                  </pic:nvPicPr>
                  <pic:blipFill>
                    <a:blip r:embed="rId16"/>
                    <a:stretch>
                      <a:fillRect/>
                    </a:stretch>
                  </pic:blipFill>
                  <pic:spPr>
                    <a:xfrm>
                      <a:off x="0" y="0"/>
                      <a:ext cx="5578475" cy="28740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退纸币器取出：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（1）点击弹出退纸币器取出确认弹窗，用户填写取出纸币数量，确认操作后同步财务记录，并生成操作流水。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（2）用户填写数量应在0到当前退纸币器所有的数量内，系统须在这一步做数量校验，超出当前币箱所有的数量时提示超出可取数量；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（3）用户填写数量后，在输入框后方显示剩余纸币数，如退纸币器5元总数100张，用户填写取出20，则显示剩余80张;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（4）用户没有填写取出数量时，提示用户填写取出数量，限制进行下一步操作；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（5）用户确认操作后，同步财务记录，生成操作流水。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06950" cy="2368550"/>
            <wp:effectExtent l="0" t="0" r="6350" b="6350"/>
            <wp:docPr id="7" name="图片 7" descr="退纸币器取出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退纸币器取出确认"/>
                    <pic:cNvPicPr>
                      <a:picLocks noChangeAspect="1"/>
                    </pic:cNvPicPr>
                  </pic:nvPicPr>
                  <pic:blipFill>
                    <a:blip r:embed="rId17"/>
                    <a:stretch>
                      <a:fillRect/>
                    </a:stretch>
                  </pic:blipFill>
                  <pic:spPr>
                    <a:xfrm>
                      <a:off x="0" y="0"/>
                      <a:ext cx="4806950" cy="23685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补币：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（1）点击补币按钮，弹出补币弹窗，用户填写补币数量后确认，同步财务记录，生成补币操作流水。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10405" cy="2851785"/>
            <wp:effectExtent l="0" t="0" r="10795" b="5715"/>
            <wp:docPr id="26" name="图片 26" descr="补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补币"/>
                    <pic:cNvPicPr>
                      <a:picLocks noChangeAspect="1"/>
                    </pic:cNvPicPr>
                  </pic:nvPicPr>
                  <pic:blipFill>
                    <a:blip r:embed="rId18"/>
                    <a:stretch>
                      <a:fillRect/>
                    </a:stretch>
                  </pic:blipFill>
                  <pic:spPr>
                    <a:xfrm>
                      <a:off x="0" y="0"/>
                      <a:ext cx="4510405" cy="28517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回收箱清盘：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点击弹出确认清盘弹窗，确认操作后清空回收箱，并同步财务记录，并生成操作流水。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44695" cy="2247900"/>
            <wp:effectExtent l="0" t="0" r="1905" b="0"/>
            <wp:docPr id="27" name="图片 27" descr="回收箱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回收箱清盘"/>
                    <pic:cNvPicPr>
                      <a:picLocks noChangeAspect="1"/>
                    </pic:cNvPicPr>
                  </pic:nvPicPr>
                  <pic:blipFill>
                    <a:blip r:embed="rId19"/>
                    <a:stretch>
                      <a:fillRect/>
                    </a:stretch>
                  </pic:blipFill>
                  <pic:spPr>
                    <a:xfrm>
                      <a:off x="0" y="0"/>
                      <a:ext cx="4544695" cy="2247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b w:val="0"/>
          <w:bCs w:val="0"/>
          <w:sz w:val="24"/>
          <w:szCs w:val="24"/>
          <w:lang w:val="en-US" w:eastAsia="zh-CN"/>
        </w:rPr>
        <w:drawing>
          <wp:inline distT="0" distB="0" distL="114300" distR="114300">
            <wp:extent cx="6184900" cy="2835275"/>
            <wp:effectExtent l="0" t="0" r="0" b="9525"/>
            <wp:docPr id="14" name="图片 14" descr="5_2财务管理模块-财务操作流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_2财务管理模块-财务操作流水1"/>
                    <pic:cNvPicPr>
                      <a:picLocks noChangeAspect="1"/>
                    </pic:cNvPicPr>
                  </pic:nvPicPr>
                  <pic:blipFill>
                    <a:blip r:embed="rId20"/>
                    <a:stretch>
                      <a:fillRect/>
                    </a:stretch>
                  </pic:blipFill>
                  <pic:spPr>
                    <a:xfrm>
                      <a:off x="0" y="0"/>
                      <a:ext cx="6184900" cy="28352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财务操作流水tab模块，列表项为序号、操作类型、操作前硬币数（枚）、操作后硬币数（枚）、操作前收纸币器（元）、操作后收纸币器（元）、操作前退纸币器（元）、操作后退纸币器（元）、操作前回收箱（元）、操作后回收箱（元）、操作时间、操作人和操作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（2）序号：按操作时间倒序排列。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（3）操作类型：包括硬币器清盘、硬币器取出、收纸币器清盘、退纸币器盘点、退纸币器取出、回收箱清盘和补币七种。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（4）操作时间：YYYY-MM-DD hh:mm:ss格式，精确到秒；搜索框：点击可弹出日期选择框。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981450" cy="2051050"/>
            <wp:effectExtent l="0" t="0" r="635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981450" cy="205105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（5）操作人：操作时登录的账号名称，支持模糊搜索。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（6）操作列：显示“详情”，点击可弹出对应的详情弹窗。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185" cy="3756025"/>
            <wp:effectExtent l="0" t="0" r="5715" b="3175"/>
            <wp:docPr id="30" name="图片 30" descr="5_2财务管理模块-财务操作流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_2财务管理模块-财务操作流水2"/>
                    <pic:cNvPicPr>
                      <a:picLocks noChangeAspect="1"/>
                    </pic:cNvPicPr>
                  </pic:nvPicPr>
                  <pic:blipFill>
                    <a:blip r:embed="rId22"/>
                    <a:stretch>
                      <a:fillRect/>
                    </a:stretch>
                  </pic:blipFill>
                  <pic:spPr>
                    <a:xfrm>
                      <a:off x="0" y="0"/>
                      <a:ext cx="6179185" cy="3756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491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4"/>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5342255"/>
            <wp:effectExtent l="0" t="0" r="10795" b="4445"/>
            <wp:docPr id="31" name="图片 31" descr="盘点流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盘点流程2"/>
                    <pic:cNvPicPr>
                      <a:picLocks noChangeAspect="1"/>
                    </pic:cNvPicPr>
                  </pic:nvPicPr>
                  <pic:blipFill>
                    <a:blip r:embed="rId23"/>
                    <a:stretch>
                      <a:fillRect/>
                    </a:stretch>
                  </pic:blipFill>
                  <pic:spPr>
                    <a:xfrm>
                      <a:off x="0" y="0"/>
                      <a:ext cx="6186805" cy="53422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3056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763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eastAsiaTheme="minorEastAsia"/>
          <w:lang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7" w:name="_Toc5080"/>
      <w:bookmarkStart w:id="88" w:name="_Toc32243"/>
      <w:r>
        <w:rPr>
          <w:rFonts w:hint="eastAsia" w:ascii="黑体" w:hAnsi="黑体" w:eastAsia="黑体" w:cs="黑体"/>
          <w:szCs w:val="22"/>
          <w:lang w:val="en-US" w:eastAsia="zh-CN"/>
        </w:rPr>
        <w:t>4.非功能性需求</w:t>
      </w:r>
      <w:bookmarkEnd w:id="87"/>
      <w:bookmarkEnd w:id="88"/>
    </w:p>
    <w:tbl>
      <w:tblPr>
        <w:tblStyle w:val="12"/>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89" w:name="_Toc7429177"/>
            <w:bookmarkEnd w:id="89"/>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90" w:name="_Toc16300"/>
      <w:bookmarkEnd w:id="90"/>
      <w:bookmarkStart w:id="91" w:name="_Toc31005"/>
      <w:bookmarkEnd w:id="91"/>
      <w:bookmarkStart w:id="92" w:name="_Toc20296"/>
      <w:bookmarkEnd w:id="92"/>
      <w:bookmarkStart w:id="93"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4" w:name="_Toc10698"/>
      <w:bookmarkStart w:id="95" w:name="_Toc7736"/>
      <w:r>
        <w:rPr>
          <w:rFonts w:hint="eastAsia" w:ascii="黑体" w:hAnsi="黑体" w:eastAsia="黑体" w:cs="黑体"/>
          <w:szCs w:val="22"/>
          <w:lang w:val="en-US" w:eastAsia="zh-CN"/>
        </w:rPr>
        <w:t>5.外部接口说明</w:t>
      </w:r>
      <w:bookmarkEnd w:id="93"/>
      <w:bookmarkEnd w:id="94"/>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6" w:name="_Toc9737"/>
      <w:bookmarkEnd w:id="96"/>
      <w:bookmarkStart w:id="97" w:name="_Toc4050"/>
      <w:bookmarkEnd w:id="97"/>
      <w:bookmarkStart w:id="98" w:name="_Toc2018"/>
      <w:bookmarkEnd w:id="98"/>
      <w:bookmarkStart w:id="99" w:name="_Toc1804"/>
      <w:bookmarkStart w:id="100" w:name="_Toc2635"/>
      <w:bookmarkStart w:id="101" w:name="_Toc28063"/>
      <w:r>
        <w:rPr>
          <w:rFonts w:hint="eastAsia" w:ascii="黑体" w:hAnsi="黑体" w:eastAsia="黑体" w:cs="黑体"/>
          <w:szCs w:val="22"/>
          <w:lang w:val="en-US" w:eastAsia="zh-CN"/>
        </w:rPr>
        <w:t>6.附件</w:t>
      </w:r>
      <w:bookmarkEnd w:id="99"/>
      <w:bookmarkEnd w:id="100"/>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02" w:name="_Toc7732"/>
      <w:bookmarkEnd w:id="102"/>
      <w:bookmarkStart w:id="103" w:name="_Toc8307"/>
      <w:bookmarkEnd w:id="103"/>
      <w:bookmarkStart w:id="104" w:name="_Toc12766"/>
      <w:bookmarkEnd w:id="104"/>
      <w:bookmarkStart w:id="105" w:name="_Toc21233"/>
      <w:bookmarkStart w:id="106" w:name="_Toc19341"/>
      <w:bookmarkStart w:id="107" w:name="_Toc4384"/>
      <w:r>
        <w:rPr>
          <w:rFonts w:hint="eastAsia" w:ascii="黑体" w:hAnsi="黑体" w:eastAsia="黑体" w:cs="黑体"/>
          <w:szCs w:val="22"/>
          <w:lang w:val="en-US" w:eastAsia="zh-CN"/>
        </w:rPr>
        <w:t>7.附录</w:t>
      </w:r>
      <w:bookmarkEnd w:id="105"/>
      <w:bookmarkEnd w:id="106"/>
      <w:bookmarkEnd w:id="10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5562"/>
      <w:bookmarkEnd w:id="108"/>
      <w:bookmarkStart w:id="109" w:name="_Toc20160"/>
      <w:bookmarkEnd w:id="109"/>
      <w:bookmarkStart w:id="110" w:name="_Toc18023"/>
      <w:bookmarkStart w:id="111" w:name="_Toc17965"/>
      <w:bookmarkStart w:id="112"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10"/>
      <w:bookmarkEnd w:id="111"/>
      <w:bookmarkEnd w:id="112"/>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779"/>
      <w:bookmarkEnd w:id="113"/>
      <w:bookmarkStart w:id="114" w:name="_Toc32744"/>
      <w:bookmarkEnd w:id="114"/>
      <w:bookmarkStart w:id="115" w:name="_Toc2158"/>
      <w:bookmarkStart w:id="116" w:name="_Toc9981"/>
      <w:bookmarkStart w:id="117"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15"/>
      <w:bookmarkEnd w:id="116"/>
      <w:bookmarkEnd w:id="11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rPr>
          <w:rFonts w:hint="eastAsia" w:eastAsiaTheme="minorEastAsia"/>
          <w:lang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5480F7"/>
    <w:multiLevelType w:val="singleLevel"/>
    <w:tmpl w:val="5A5480F7"/>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A0E7D"/>
    <w:rsid w:val="01F04DFF"/>
    <w:rsid w:val="04377E9C"/>
    <w:rsid w:val="055750B1"/>
    <w:rsid w:val="055F701B"/>
    <w:rsid w:val="05DC19F9"/>
    <w:rsid w:val="073A32DE"/>
    <w:rsid w:val="0A4B65C8"/>
    <w:rsid w:val="11F13B8C"/>
    <w:rsid w:val="151A4271"/>
    <w:rsid w:val="1DC11FC8"/>
    <w:rsid w:val="1F835143"/>
    <w:rsid w:val="1FCC160E"/>
    <w:rsid w:val="24893093"/>
    <w:rsid w:val="27CD2A02"/>
    <w:rsid w:val="312C4F4F"/>
    <w:rsid w:val="32A13EDB"/>
    <w:rsid w:val="350324E2"/>
    <w:rsid w:val="38854045"/>
    <w:rsid w:val="393A62F5"/>
    <w:rsid w:val="401E7092"/>
    <w:rsid w:val="42C72A7C"/>
    <w:rsid w:val="43D15D54"/>
    <w:rsid w:val="44A12D2A"/>
    <w:rsid w:val="4945709F"/>
    <w:rsid w:val="4D3C2C11"/>
    <w:rsid w:val="4E200FF8"/>
    <w:rsid w:val="52D557D4"/>
    <w:rsid w:val="539A6897"/>
    <w:rsid w:val="547269CB"/>
    <w:rsid w:val="55EA208A"/>
    <w:rsid w:val="57A24815"/>
    <w:rsid w:val="58981F9C"/>
    <w:rsid w:val="599E23C8"/>
    <w:rsid w:val="5A855D3C"/>
    <w:rsid w:val="5DF2426F"/>
    <w:rsid w:val="5E385724"/>
    <w:rsid w:val="600630C4"/>
    <w:rsid w:val="621E4AD8"/>
    <w:rsid w:val="632A6A5C"/>
    <w:rsid w:val="65D2108F"/>
    <w:rsid w:val="696A0E7D"/>
    <w:rsid w:val="6B444E67"/>
    <w:rsid w:val="6F7542BE"/>
    <w:rsid w:val="71100E94"/>
    <w:rsid w:val="71B6178D"/>
    <w:rsid w:val="73023056"/>
    <w:rsid w:val="7A540B09"/>
    <w:rsid w:val="7EA31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2018-01-05T07:43:00Z</dcterms:created>
  <dc:creator>北北</dc:creator>
  <cp:lastModifiedBy>北北</cp:lastModifiedBy>
  <dcterms:modified xsi:type="dcterms:W3CDTF">2018-04-28T03:44:57Z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