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ajorHAnsi" w:hAnsiTheme="majorHAnsi" w:eastAsiaTheme="majorEastAsia" w:cstheme="majorBidi"/>
          <w:caps/>
          <w:sz w:val="18"/>
          <w:szCs w:val="24"/>
        </w:rPr>
        <w:id w:val="411183216"/>
      </w:sdtPr>
      <w:sdtEndPr>
        <w:rPr>
          <w:rFonts w:asciiTheme="majorHAnsi" w:hAnsiTheme="majorHAnsi" w:eastAsiaTheme="majorEastAsia" w:cstheme="majorBidi"/>
          <w:b/>
          <w:caps w:val="0"/>
          <w:sz w:val="76"/>
          <w:szCs w:val="72"/>
        </w:rPr>
      </w:sdtEndPr>
      <w:sdtContent>
        <w:tbl>
          <w:tblPr>
            <w:tblStyle w:val="13"/>
            <w:tblW w:w="11016" w:type="dxa"/>
            <w:jc w:val="center"/>
            <w:tblInd w:w="0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016"/>
          </w:tblGrid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880" w:hRule="atLeast"/>
              <w:jc w:val="center"/>
            </w:trPr>
            <w:tc>
              <w:tcPr>
                <w:tcW w:w="11016" w:type="dxa"/>
              </w:tcPr>
              <w:p>
                <w:pPr>
                  <w:pStyle w:val="15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44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80"/>
                  <w:szCs w:val="80"/>
                </w:rPr>
                <w:alias w:val="Title"/>
                <w:id w:val="15524250"/>
                <w:placeholder>
                  <w:docPart w:val="{832f3838-a289-4571-91bb-5dfc4fbf259d}"/>
                </w:placeholder>
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  <w:sz w:val="80"/>
                  <w:szCs w:val="80"/>
                </w:rPr>
              </w:sdtEndPr>
              <w:sdtContent>
                <w:tc>
                  <w:tcPr>
                    <w:tcW w:w="11016" w:type="dxa"/>
                    <w:tcBorders>
                      <w:bottom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15"/>
                      <w:jc w:val="center"/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sz w:val="80"/>
                        <w:szCs w:val="80"/>
                        <w:lang w:eastAsia="zh-CN"/>
                      </w:rPr>
                      <w:t>艾科运营平台V2.3.0</w:t>
                    </w:r>
                  </w:p>
                </w:tc>
              </w:sdtContent>
            </w:sdt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{f5a51892-da6e-4292-b6b9-2c6a2d7bce30}"/>
                </w:placeholder>
    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  <w:sz w:val="44"/>
                  <w:szCs w:val="44"/>
                </w:rPr>
              </w:sdtEndPr>
              <w:sdtContent>
                <w:tc>
                  <w:tcPr>
                    <w:tcW w:w="11016" w:type="dxa"/>
                    <w:tcBorders>
                      <w:top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15"/>
                      <w:jc w:val="center"/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sz w:val="44"/>
                        <w:szCs w:val="44"/>
                        <w:lang w:eastAsia="zh-CN"/>
                      </w:rPr>
                      <w:t>产品需求说明书v1</w:t>
                    </w:r>
                  </w:p>
                </w:tc>
              </w:sdtContent>
            </w:sdt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15"/>
                  <w:jc w:val="center"/>
                </w:pP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15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  <w:lang w:eastAsia="zh-CN"/>
                  </w:rPr>
                  <w:t>何嘉灵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15"/>
                  <w:jc w:val="center"/>
                  <w:rPr>
                    <w:rFonts w:hint="eastAsia" w:eastAsiaTheme="minorEastAsia"/>
                    <w:b/>
                    <w:bCs/>
                    <w:lang w:val="en-US" w:eastAsia="zh-CN"/>
                  </w:rPr>
                </w:pPr>
                <w:r>
                  <w:rPr>
                    <w:rFonts w:hint="eastAsia"/>
                    <w:b/>
                    <w:bCs/>
                    <w:lang w:val="en-US" w:eastAsia="zh-CN"/>
                  </w:rPr>
                  <w:t>2018-2-9</w:t>
                </w:r>
              </w:p>
            </w:tc>
          </w:tr>
        </w:tbl>
        <w:p>
          <w:pPr>
            <w:pStyle w:val="16"/>
            <w:jc w:val="both"/>
          </w:pPr>
        </w:p>
      </w:sdtContent>
    </w:sdt>
    <w:p>
      <w:pPr>
        <w:pBdr>
          <w:bottom w:val="single" w:color="auto" w:sz="6" w:space="1"/>
        </w:pBdr>
        <w:jc w:val="left"/>
        <w:rPr>
          <w:rFonts w:hint="eastAsia" w:ascii="宋体" w:hAnsi="宋体" w:eastAsia="宋体" w:cs="宋体"/>
          <w:b/>
          <w:bCs/>
          <w:szCs w:val="20"/>
        </w:rPr>
      </w:pPr>
      <w:r>
        <w:br w:type="page"/>
      </w:r>
      <w:r>
        <w:rPr>
          <w:rFonts w:hint="eastAsia" w:ascii="宋体" w:hAnsi="宋体" w:eastAsia="宋体" w:cs="宋体"/>
          <w:b/>
          <w:bCs/>
          <w:szCs w:val="20"/>
        </w:rPr>
        <w:t>修订历史</w:t>
      </w:r>
    </w:p>
    <w:tbl>
      <w:tblPr>
        <w:tblStyle w:val="13"/>
        <w:tblpPr w:leftFromText="180" w:rightFromText="180" w:vertAnchor="text" w:horzAnchor="page" w:tblpX="1930" w:tblpY="340"/>
        <w:tblOverlap w:val="never"/>
        <w:tblW w:w="81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1391"/>
        <w:gridCol w:w="3461"/>
        <w:gridCol w:w="1194"/>
        <w:gridCol w:w="1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作者</w:t>
            </w:r>
          </w:p>
        </w:tc>
        <w:tc>
          <w:tcPr>
            <w:tcW w:w="3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内容提要</w:t>
            </w:r>
          </w:p>
        </w:tc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文档状态</w:t>
            </w: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发布日期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V1</w:t>
            </w:r>
          </w:p>
        </w:tc>
        <w:tc>
          <w:tcPr>
            <w:tcW w:w="1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何嘉灵</w:t>
            </w:r>
          </w:p>
        </w:tc>
        <w:tc>
          <w:tcPr>
            <w:tcW w:w="3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首次创建</w:t>
            </w:r>
          </w:p>
        </w:tc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eastAsia="zh-CN"/>
              </w:rPr>
              <w:t>新增</w:t>
            </w: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20171128</w:t>
            </w:r>
          </w:p>
        </w:tc>
      </w:tr>
    </w:tbl>
    <w:p>
      <w:r>
        <w:br w:type="page"/>
      </w:r>
    </w:p>
    <w:p>
      <w:pPr>
        <w:pStyle w:val="2"/>
        <w:ind w:left="432" w:leftChars="0" w:hanging="432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全局说明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6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全局</w:t>
            </w:r>
            <w:r>
              <w:rPr>
                <w:rFonts w:hint="eastAsia"/>
                <w:lang w:val="en-US" w:eastAsia="zh-CN"/>
              </w:rPr>
              <w:t>UI要求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参照UI设计稿。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效率要求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网络正常的情况下，任何菜单的点击响应时间不超过</w:t>
            </w:r>
            <w:r>
              <w:rPr>
                <w:lang w:val="en-US" w:eastAsia="zh-CN"/>
              </w:rPr>
              <w:t>3秒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兼容性要求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新增功能模块需兼容原有功能及原有数据。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权限控制要求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功能权限控制需细化到每一个功能按钮，每一个新增功能都需对应添加权限控制。</w:t>
            </w:r>
          </w:p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数据权限控制到停车场。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全局列表要求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列表默认每页显示10条，可选每页显示数量（10/50/100）。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全局弹窗要求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所有弹窗需在界面可视范围内，若显示不全则配合上下滚动条和左右滚动条展示。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无操作(只读)弹窗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即无写入数据库操作的弹窗，右上角显示“X”，点击可关闭弹窗，鼠标点击弹窗以外的内容也可关闭弹窗。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操作提示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操作提示返回统一在右下角提示框，2秒后自动消失。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点击“搜索”功能按钮，按输入条件搜索，3s内刷新数据。</w:t>
            </w:r>
          </w:p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搜索数据超过实时搜索限制时，转入预约下载中心。</w:t>
            </w:r>
          </w:p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输入搜索条件后回车自动搜索。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点击“确认”功能按钮，配置生效，写入数据库，关闭弹窗。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点击“取消”功能按钮，配置无效，直接关闭弹窗。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必填项标识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所有必填项需要有必填标识。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金额的显示逻辑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统一精确到分位，如：10.00。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时间的显示逻辑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如无特别说明，统一显示YY-MM-DD hh:mm:ss。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密码格式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所有输入的信息必须以*号代替。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停车场搜索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适用通用停车场搜索框，与停车场批量选择弹窗。</w:t>
            </w:r>
          </w:p>
        </w:tc>
      </w:tr>
    </w:tbl>
    <w:p>
      <w:pP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8114665"/>
            <wp:effectExtent l="0" t="0" r="10795" b="635"/>
            <wp:docPr id="9" name="图片 9" descr="V2.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V2.3.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具体功能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AOMP优化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车牌认证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车牌认证里的照片可下载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点击打开认证照片大图，右键【另存为】，可保存为.jpg,.png格式的图片。并可将另存的图片上传实名认证。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case：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车主在一点停提交车辆认证审核申请；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后台客服进行审核时发现该车牌已被其他用户认证，故审核不通过；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并备注：请正确上传行驶证证件照片,该车牌已被手机尾号****认证成功（请上传手持身份证、行驶证的上半身照片，如有疑问请拨打400-682-3828）；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车主按要求上传手持身份证、行驶证的上半身照片；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后台客服下载照片，并在后台上传帮车主完成实名认证。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76830"/>
            <wp:effectExtent l="0" t="0" r="4445" b="1397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车场信息-停车场信息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点击停车场名称进入的停车场信息中的停车场收费图片，点击可查看大图。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46985"/>
            <wp:effectExtent l="0" t="0" r="10160" b="571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车场信息-修改上线信息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首次进入“停车信息”默认勾选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停车场logo能查看并下载，下载到本地，格式大小与原上传的一致。点击可查看大图</w:t>
      </w:r>
    </w:p>
    <w:p>
      <w:pPr>
        <w:numPr>
          <w:ilvl w:val="0"/>
          <w:numId w:val="0"/>
        </w:numPr>
        <w:spacing w:before="120" w:after="120"/>
      </w:pPr>
      <w:r>
        <w:drawing>
          <wp:inline distT="0" distB="0" distL="114300" distR="114300">
            <wp:extent cx="4133215" cy="1285875"/>
            <wp:effectExtent l="0" t="0" r="635" b="95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进出场记录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搜索项【交易凭证】拆分成【车牌号码】（模糊搜索）、【卡票号】（精确搜索）、【自助进出码】（精确搜索）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交易凭证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车牌号码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模糊搜索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卡票号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精确搜索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自助进出码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精确搜索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进出场图片点击可打开大图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弹窗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进场图片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展示进场车身大图，带拍照时间、识别车牌号码、识别颜色、识别车型、拍照通道等相关信息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加入【车牌矫正】功能按钮，只对未离场车辆的进场记录进行矫正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矫正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每次只对</w:t>
            </w:r>
            <w:r>
              <w:rPr>
                <w:rFonts w:hint="eastAsia"/>
                <w:b/>
                <w:bCs/>
                <w:color w:val="FF0000"/>
                <w:sz w:val="18"/>
                <w:szCs w:val="18"/>
                <w:lang w:val="en-US" w:eastAsia="zh-CN"/>
              </w:rPr>
              <w:t>一条 未离场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车辆的</w:t>
            </w:r>
            <w:r>
              <w:rPr>
                <w:rFonts w:hint="eastAsia"/>
                <w:b/>
                <w:bCs/>
                <w:color w:val="FF0000"/>
                <w:sz w:val="18"/>
                <w:szCs w:val="18"/>
                <w:lang w:val="en-US" w:eastAsia="zh-CN"/>
              </w:rPr>
              <w:t>进场记录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进行矫正。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同时选中多条记录后，点击【矫正】按钮，提示：请选择一条记录。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选中一条已离场记录后，点击【矫正】按钮，提示：只可对未离场车辆的进场记录进行矫正。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选中一条未离场记录后，点击【矫正】按钮，弹窗【矫正车牌】。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弹窗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矫正车牌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包含车牌图片（车身大图，鼠标悬停放大，并随鼠标移动图片，效果同VEMS）、原识别车牌号、矫正车牌号（输入框）。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保存后更新矫正结果，并下发VEMS。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【平台管理】-【角色管理】-【设置权限】，新增【矫正】功能按钮的权限控制。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4461510"/>
            <wp:effectExtent l="0" t="0" r="12700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车场通讯端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点击最后离线时间，弹出通连记录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弹窗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通连记录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点击【最后离线时间】列的内容，弹出。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显示该通讯端所有通连记录。以【离线时间】降序排列。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restart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列表内容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离线时间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首次创建记录一个离线时间，即创建时间为首次离线时间。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之后每次离线记录一个离线时间。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重连时间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首次在线记录一个重连（上线）时间。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之后每次重连记录一个重连（上线）时间。</w:t>
            </w:r>
          </w:p>
        </w:tc>
      </w:tr>
    </w:tbl>
    <w:p>
      <w:r>
        <w:drawing>
          <wp:inline distT="0" distB="0" distL="114300" distR="114300">
            <wp:extent cx="5266055" cy="2413000"/>
            <wp:effectExtent l="0" t="0" r="1079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电子发票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车场交易流水-电子发票连接增加以下限制：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实付金额为0的流水没有开票连接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该车场当前不支持电子发票的，没有开票连接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电子发票管理-重新开票功能增加以下限制：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状态为已作废或已冲红的记录才可重新开票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VEMS-VIP操作流水 增加发票状态以及开票标识入口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VEMS-收费流水     增加开票标识入口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列表内容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发票状态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未开票、已开纸质票、已开电子票。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开票标识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未开票的流水可使用。点击后弹出二次确认弹窗，确认已开纸质票。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弹窗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开票标识二次确认框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二次确认框。可取消。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余额账户管理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退款处理弹窗名称改成：退款处理</w:t>
      </w:r>
    </w:p>
    <w:p>
      <w:pPr>
        <w:numPr>
          <w:ilvl w:val="0"/>
          <w:numId w:val="8"/>
        </w:numPr>
        <w:ind w:left="420" w:leftChars="0" w:hanging="420" w:firstLineChars="0"/>
      </w:pPr>
      <w:r>
        <w:rPr>
          <w:rFonts w:hint="eastAsia" w:eastAsia="宋体"/>
          <w:lang w:eastAsia="zh-CN"/>
        </w:rPr>
        <w:t>退款处理弹窗预计到账时间默认填写当天时间。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增加批量处理功能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批量处理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选择多条记录后点击【批量处理】弹窗【退款处理】，保存后配置对所选记录同时生效。</w:t>
            </w:r>
          </w:p>
        </w:tc>
      </w:tr>
    </w:tbl>
    <w:p>
      <w:r>
        <w:drawing>
          <wp:inline distT="0" distB="0" distL="114300" distR="114300">
            <wp:extent cx="5269230" cy="3182620"/>
            <wp:effectExtent l="0" t="0" r="7620" b="1778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快捷支付导流广告配置</w:t>
      </w:r>
      <w:r>
        <w:rPr>
          <w:rFonts w:hint="eastAsia"/>
          <w:lang w:val="en-US" w:eastAsia="zh-CN"/>
        </w:rPr>
        <w:t>/快捷支付轮播广告配置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两个广告配置的【新增/修改广告】弹窗新增【投放范围】【选择投放停车场】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99915" cy="3542665"/>
            <wp:effectExtent l="0" t="0" r="635" b="63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单选按钮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投放范围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全局（默认选中）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局部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选中“局部”时，展开【选择适用停车场】按钮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选择投放停车场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点击弹出【停车场批量选择通用框】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投放范围为“局部”时，必须选择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1个以上投放停车场，若未选择任何投放停车场时点击【确认】，提示：请选择投放停车场。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两个广告配置的界面列表新增列【投放范围】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2567940"/>
            <wp:effectExtent l="0" t="0" r="3810" b="381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投放范围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当投放范围为“全局”时，列表内容显示“全局”；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当投放范围为“局部”时，列表内容显示“详情”，点击“详情”文本，弹出【投放停车场】弹窗。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restart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【投放停车场】弹窗列表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停车场名称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所选投放停车场的名称。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地址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所选投放停车场的地址。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快捷支付导流广告配置-新增/修改广告 弹窗 修改广告位尺寸。</w:t>
      </w:r>
    </w:p>
    <w:p>
      <w:r>
        <w:drawing>
          <wp:inline distT="0" distB="0" distL="114300" distR="114300">
            <wp:extent cx="4399915" cy="3542665"/>
            <wp:effectExtent l="0" t="0" r="635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文本标签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图片上传提示语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广告位尺寸修改为“</w:t>
            </w:r>
            <w:r>
              <w:rPr>
                <w:rFonts w:hint="eastAsia"/>
                <w:color w:val="FF0000"/>
                <w:sz w:val="18"/>
                <w:szCs w:val="18"/>
                <w:lang w:val="en-US" w:eastAsia="zh-CN"/>
              </w:rPr>
              <w:t>600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*732”</w:t>
            </w:r>
          </w:p>
        </w:tc>
      </w:tr>
    </w:tbl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增加投放停车场后，前端读取后台配置的展示逻辑：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搜索该停车场配置的生效中的广告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按广告顺位优先读取</w:t>
      </w:r>
    </w:p>
    <w:p>
      <w:pPr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如：快捷支付轮播广告配置（当前设计前端展示1~3个轮播广告），后台为停车场A配置了5个生效中的广告，顺位分别为1,3,6,7,8，则取前三则播放。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切换支付宝当面付接口，实现支付宝直接到账（包括游客扫码、APP支付、岗亭端主扫或被扫）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实现效果，在AOMP配置支付宝相关直接到账账号后，以下场景支付实现直接到账：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手机支付宝APP扫游客二维码支付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使用一点停APP通过支付宝支付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手机支付宝APP扫自助缴费机上的缴费码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岗亭扫码枪扫车主支付宝付款码</w:t>
      </w:r>
    </w:p>
    <w:p>
      <w:pPr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AOMP-车场交易流水、账户流水、月票收费流水、临停收费日报</w:t>
      </w:r>
    </w:p>
    <w:p>
      <w:pPr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POMP-临停收费报表</w:t>
      </w:r>
    </w:p>
    <w:p>
      <w:pPr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以上模块对应的到账商户号显示实际到账的车场支付宝账号PPID（2088开头）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主扫收款通联直接到账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实现效果，在AOMP配置微信支付-通联支付相关直接到账账号后，岗亭扫码枪扫车主支付宝付款码完成的支付，资金直接到对应配置的停车场通联账号。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车场交易流水-到账商户号显示实际收款的通联账号，支付方式备注“通联”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账户资金流水-到账商户号显示实际收款的通联账号，支付方式备注“通联”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临停收费报表-此部分款项算入“到停车场账户”对应的通联账号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自动扣费配置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弹窗名称改成“自动扣费</w:t>
      </w:r>
      <w:r>
        <w:rPr>
          <w:rFonts w:hint="eastAsia"/>
          <w:b/>
          <w:bCs/>
          <w:color w:val="FF0000"/>
          <w:lang w:val="en-US" w:eastAsia="zh-CN"/>
        </w:rPr>
        <w:t>配置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增加各支付方式的独立开关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增加后扣费限额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后扣费限额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自然数（0，1，2，</w:t>
            </w:r>
            <w:r>
              <w:rPr>
                <w:rFonts w:hint="default"/>
                <w:sz w:val="18"/>
                <w:szCs w:val="18"/>
                <w:lang w:eastAsia="zh-CN"/>
              </w:rPr>
              <w:fldChar w:fldCharType="begin"/>
            </w:r>
            <w:r>
              <w:rPr>
                <w:rFonts w:hint="default"/>
                <w:sz w:val="18"/>
                <w:szCs w:val="18"/>
                <w:lang w:eastAsia="zh-CN"/>
              </w:rPr>
              <w:instrText xml:space="preserve"> HYPERLINK "https://baike.baidu.com/item/3/5833" \t "https://baike.baidu.com/item/_blank" </w:instrText>
            </w:r>
            <w:r>
              <w:rPr>
                <w:rFonts w:hint="default"/>
                <w:sz w:val="18"/>
                <w:szCs w:val="18"/>
                <w:lang w:eastAsia="zh-CN"/>
              </w:rPr>
              <w:fldChar w:fldCharType="separate"/>
            </w:r>
            <w:r>
              <w:rPr>
                <w:rFonts w:hint="default"/>
                <w:sz w:val="18"/>
                <w:szCs w:val="18"/>
                <w:lang w:eastAsia="zh-CN"/>
              </w:rPr>
              <w:t>3</w:t>
            </w:r>
            <w:r>
              <w:rPr>
                <w:rFonts w:hint="default"/>
                <w:sz w:val="18"/>
                <w:szCs w:val="18"/>
                <w:lang w:eastAsia="zh-CN"/>
              </w:rPr>
              <w:fldChar w:fldCharType="end"/>
            </w:r>
            <w:r>
              <w:rPr>
                <w:rFonts w:hint="default"/>
                <w:sz w:val="18"/>
                <w:szCs w:val="18"/>
                <w:lang w:eastAsia="zh-CN"/>
              </w:rPr>
              <w:t>，4，……</w:t>
            </w:r>
            <w:r>
              <w:rPr>
                <w:rFonts w:hint="eastAsia"/>
                <w:sz w:val="18"/>
                <w:szCs w:val="18"/>
                <w:lang w:eastAsia="zh-CN"/>
              </w:rPr>
              <w:t>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附界面说明：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“说明：高于此设置值的交易不可使用先放行后扣费，需先扣费成功再放行。”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开关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当前状态为关闭时显示“开启”，当前状态为开启时显示“关闭”。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可通过开关控制车主端的相关入口，关闭后屏蔽车主端入口，现场不可使用此种支付方式进行支付。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restart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列表内容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最后操作时间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包括“开关”操作与“顶”操作的最后操作时间。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操作人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包括“开关”操作与“顶”操作的最后操作账号。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00910"/>
            <wp:effectExtent l="0" t="0" r="5715" b="889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月票管理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月票订单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切新UI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新增停车场搜索通用框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月票收费流水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切新UI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改用停车场搜索通用框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支付来源（备注）、支付方式（备注）按《缴费来源和缴费方式说明文档》约束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新增【到账商户号】【开票情况】【发票号码】的搜索项及列表内容。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t>导出模板增加【到账商户号】【开票情况】【发票号码</w:t>
      </w:r>
      <w:r>
        <w:rPr>
          <w:rFonts w:hint="eastAsia" w:eastAsia="宋体"/>
          <w:lang w:val="en-US" w:eastAsia="zh-CN"/>
        </w:rPr>
        <w:t>/开票连接</w:t>
      </w:r>
      <w:r>
        <w:rPr>
          <w:rFonts w:hint="eastAsia" w:eastAsia="宋体"/>
          <w:lang w:eastAsia="zh-CN"/>
        </w:rPr>
        <w:t>】</w:t>
      </w:r>
    </w:p>
    <w:p>
      <w:r>
        <w:drawing>
          <wp:inline distT="0" distB="0" distL="114300" distR="114300">
            <wp:extent cx="5266055" cy="2990850"/>
            <wp:effectExtent l="0" t="0" r="10795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开票情况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默认为全部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下拉选择：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全部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未开票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电子发票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纸质发票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发票号码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带文字提示：精确搜索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精确搜索</w:t>
            </w:r>
          </w:p>
        </w:tc>
        <w:tc>
          <w:tcPr>
            <w:tcW w:w="2450" w:type="dxa"/>
            <w:tcBorders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</w:t>
            </w:r>
          </w:p>
        </w:tc>
      </w:tr>
    </w:tbl>
    <w:p/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restart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是否开票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对应该条记录的开票情况。内容包括：未开票、电子发票、纸质发票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发票号码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/开票连接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对应该条记录的电子发票号码。</w:t>
            </w:r>
            <w:r>
              <w:rPr>
                <w:rFonts w:hint="eastAsia"/>
                <w:color w:val="FF0000"/>
                <w:sz w:val="18"/>
                <w:szCs w:val="18"/>
                <w:lang w:eastAsia="zh-CN"/>
              </w:rPr>
              <w:t>已开纸质发票的，显示为空；未开票的显示对应开票连接。</w:t>
            </w:r>
          </w:p>
          <w:p>
            <w:pPr>
              <w:rPr>
                <w:rFonts w:hint="eastAsia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FF0000"/>
                <w:sz w:val="18"/>
                <w:szCs w:val="18"/>
                <w:lang w:eastAsia="zh-CN"/>
              </w:rPr>
              <w:t>实付为</w:t>
            </w:r>
            <w:r>
              <w:rPr>
                <w:rFonts w:hint="eastAsia"/>
                <w:color w:val="FF0000"/>
                <w:sz w:val="18"/>
                <w:szCs w:val="18"/>
                <w:lang w:val="en-US" w:eastAsia="zh-CN"/>
              </w:rPr>
              <w:t>0，或对应（财务主体）车场不支持电子发票的，显示为空。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导出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模板增加【到账商户号】【开票情况】【发票号码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/开票连接</w:t>
            </w:r>
            <w:r>
              <w:rPr>
                <w:rFonts w:hint="eastAsia"/>
                <w:sz w:val="18"/>
                <w:szCs w:val="18"/>
                <w:lang w:eastAsia="zh-CN"/>
              </w:rPr>
              <w:t>】内容。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车牌矫正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车牌矫正只显示在场且不为未识别的记录。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列表按置信度降序排列。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图片点击可看车身大图。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改用停车场通用搜索框。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车牌矫正弹窗中的图片改成车身大图，鼠标悬停放大，并随鼠标移动图片，效果同VEMS。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顶级运营商管理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页面优化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搜索框【顶级运营商名称】改成【关键字】，可对运营商名称或登陆账号进行模糊搜索。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列表内容删除【电子邮箱】、【所属区域】、【运营商地址】、【联系人】、【手机号码】、【创建人】，新增【角色】、【启用配置】，【注册时间】文案改成【创建时间】。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新增弹窗【顶级运营商基本信息】，列表【顶级运营商名称】内容点击进入。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新增弹窗【配置详情】，列表【启用配置】内容点击进入。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关键字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带文字提示：运营商名称或登陆账号，模糊搜索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模糊搜索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替代原【顶级运营商名称】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可对运营商名称或登陆账号进行模糊搜索。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restart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电子邮箱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所属区域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运营商地址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联系人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手机号码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创建人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角色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新增，显示该运营商所属的角色，多个角色以逗号隔开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启用配置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新增，显示文本“详情”，点击后可打开该运营商的【配置详情】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注册时间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文案修改，改成“创建时间”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只读弹窗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顶级运营商基本信息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新增，点击列表【顶级运营商名称】内容弹出。包含运营商创建时的基本信息与子运营商树。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只读弹窗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配置详情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新增，点击列表【上线配置】内容弹出。包含上线配置中的相关信息。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98595"/>
            <wp:effectExtent l="0" t="0" r="889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【删除】功能逻辑明确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只在冻结状态可见。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删除后解绑停车场关系，释放登陆账号，原账户不可正常登陆（提示：该账号不存在），可使用已删除登陆账号重新创建账号；角色管理 不显示此角色用户。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【新增顶级运营商】弹窗修改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文案修改：【运营商名称】改成【顶级运营商名称】，【密码】改成【登陆密码】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新增【设置角色】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新增【绑定停车场】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顶级运营商名称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文案修改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登陆密码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默认为空，密码格式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文案修改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设置角色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加载系统现有角色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弹窗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绑定停车场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点击【选择】弹出停车场批量选择通用框。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根据保存选择停车场的情况在界面显示已绑停车场数量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90215" cy="4352290"/>
            <wp:effectExtent l="0" t="0" r="63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【修改顶级运营商】弹窗修改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文案修改：【运营商名称】改成【顶级运营商名称】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顶级运营商名称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默认为空</w:t>
            </w:r>
          </w:p>
        </w:tc>
        <w:tc>
          <w:tcPr>
            <w:tcW w:w="2450" w:type="dxa"/>
            <w:tcBorders>
              <w:left w:val="single" w:color="00000A" w:sz="4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文案修改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90215" cy="3199765"/>
            <wp:effectExtent l="0" t="0" r="63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【设置角色】弹窗交互修改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取消【添加】【删除】按钮，通过单击对应角色，直接切换选择。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47565" cy="3152140"/>
            <wp:effectExtent l="0" t="0" r="635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【绑定停车场】使用通用批量停车场选择框。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【修改启用信息】弹窗修改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新增运营商logo【预览】【下载】，上传提示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删除【月票协议】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运营商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logo预览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新增，未上传的显示默认图片，已上传的显示上传的图片。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上传提示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新增，界面显示：“提示：logo高度不超过150px，宽度不超过200px，支持格式为jpg、png”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上传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文案修改成【上传】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下载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已上传图片时可点击，可下载到本地，格式大小与原上传的一致。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月票协议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删除。包括编辑协议一同删除。月票协议转为由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POMP配置。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29865"/>
            <wp:effectExtent l="0" t="0" r="7620" b="133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角色管理模块分离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原角色管理模块整合了平台角色与运营商角色的管理，现将其分离成独立模块。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平台角色管理属于【平台管理】下属模块；运营商角色管理属于【运营商】下属模块。两个模块的界面与功能相同。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81150" cy="1600200"/>
            <wp:effectExtent l="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删除搜索项【登陆平台】。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【新增】【修改】角色时，删除下拉框【所属系统类型】。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列表文案修改【修改时间】---&gt;【最后修改时间】。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新增【权限项列表】。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登陆平台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所属系统类型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删除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最后修改时间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文案修改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权限项列表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新增。点击弹出只读弹窗【权限项列表】，包括权限名称，已配角色，权限用户。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权限项列表内容：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权限名称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细化到根节点权限名称，包括其所有父级模块名称。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如：平台管理-角色管理-页面查看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已配角色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显示该功能权限所有已配角色，用“逗号”隔开。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列表</w:t>
            </w: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权限用户</w:t>
            </w: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显示该功能权限所有已配角色的所有用户，用“逗号”隔开。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85185"/>
            <wp:effectExtent l="0" t="0" r="3810" b="57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预约下载中心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预约下载中心</w:t>
      </w:r>
    </w:p>
    <w:p>
      <w:pPr>
        <w:pStyle w:val="17"/>
        <w:rPr>
          <w:rFonts w:hint="eastAsia"/>
          <w:lang w:val="en-US" w:eastAsia="zh-CN"/>
        </w:rPr>
      </w:pPr>
      <w:r>
        <w:t>原型界面</w:t>
      </w:r>
    </w:p>
    <w:p>
      <w:r>
        <w:drawing>
          <wp:inline distT="0" distB="0" distL="114300" distR="114300">
            <wp:extent cx="5266690" cy="2266315"/>
            <wp:effectExtent l="0" t="0" r="10160" b="63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9890" cy="6076315"/>
            <wp:effectExtent l="0" t="0" r="10160" b="63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t>界面说明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界面入口：主页面右上角。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点击后弹窗。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27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界面显示未删除的文件，下载文件生成后系统保留</w:t>
      </w:r>
      <w:r>
        <w:rPr>
          <w:rFonts w:hint="eastAsia" w:eastAsia="宋体"/>
          <w:lang w:val="en-US" w:eastAsia="zh-CN"/>
        </w:rPr>
        <w:t>7天，过期自动删除。</w:t>
      </w:r>
    </w:p>
    <w:p>
      <w:pPr>
        <w:pStyle w:val="17"/>
        <w:rPr>
          <w:lang w:eastAsia="zh-CN"/>
        </w:rPr>
      </w:pPr>
      <w:r>
        <w:rPr>
          <w:lang w:eastAsia="zh-CN"/>
        </w:rPr>
        <w:t>输入内容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搜索：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 w:eastAsia="宋体"/>
          <w:lang w:eastAsia="zh-CN"/>
        </w:rPr>
        <w:t>搜索数据超过</w:t>
      </w:r>
      <w:r>
        <w:rPr>
          <w:rFonts w:hint="eastAsia" w:eastAsia="宋体"/>
          <w:lang w:val="en-US" w:eastAsia="zh-CN"/>
        </w:rPr>
        <w:t>1000条是弹出提示框，提示：“由于搜索数据超过1,000条无法实时搜索，请使用预约下载获取批量数据，当前预约下载数据更新至[2017-11-27 14:59:59]，如需下载后续时间段的订单，请稍后重试。”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 w:eastAsia="宋体"/>
          <w:lang w:val="en-US" w:eastAsia="zh-CN"/>
        </w:rPr>
        <w:t>点击【预约下载】按钮后，转入预约下载，关闭弹窗。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26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导出：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点击导出后，弹出提示框，提示：“请使用预约下载获取批量数据，当前预约下载数据更新至[2017-11-27 14:59:59]，如需下载后续时间段的订单，请稍后重试。”并自动转入预约下载。</w:t>
      </w:r>
    </w:p>
    <w:p>
      <w:pPr>
        <w:pStyle w:val="17"/>
        <w:rPr>
          <w:lang w:eastAsia="zh-CN"/>
        </w:rPr>
      </w:pPr>
      <w:r>
        <w:rPr>
          <w:lang w:eastAsia="zh-CN"/>
        </w:rPr>
        <w:t>输出内容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功能入口：预约下载中心的列表操作按钮。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点击【下载】后将文件保存到本地。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t>输出</w:t>
      </w:r>
      <w:r>
        <w:rPr>
          <w:rFonts w:hint="eastAsia"/>
          <w:lang w:val="en-US" w:eastAsia="zh-CN"/>
        </w:rPr>
        <w:t>对应.csv文件。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停车场通用搜索</w:t>
      </w:r>
    </w:p>
    <w:p>
      <w:pPr>
        <w:numPr>
          <w:ilvl w:val="0"/>
          <w:numId w:val="3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系统全局优化停车场搜索框与停车场批量选择弹窗</w:t>
      </w:r>
    </w:p>
    <w:p>
      <w:r>
        <w:drawing>
          <wp:inline distT="0" distB="0" distL="114300" distR="114300">
            <wp:extent cx="5273675" cy="4306570"/>
            <wp:effectExtent l="0" t="0" r="3175" b="1778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ind w:left="420" w:leftChars="0" w:hanging="420" w:firstLineChars="0"/>
        <w:rPr>
          <w:rFonts w:hint="eastAsia" w:eastAsia="宋体"/>
          <w:b/>
          <w:bCs/>
          <w:color w:val="FF0000"/>
          <w:lang w:eastAsia="zh-CN"/>
        </w:rPr>
      </w:pPr>
      <w:r>
        <w:rPr>
          <w:rFonts w:hint="eastAsia" w:eastAsia="宋体"/>
          <w:b/>
          <w:bCs/>
          <w:color w:val="FF0000"/>
          <w:lang w:eastAsia="zh-CN"/>
        </w:rPr>
        <w:t>以下黑色部分为未实现部分，需安排实现。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52620"/>
            <wp:effectExtent l="0" t="0" r="6350" b="508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权限控制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数据权限控制到停车场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系统管理员为用户分配停车场数据权限后，用户查看停车场相关的数据时，只能看到与其数据权限一致的内容。下图为需要进行数据权限控制的模块。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8890" cy="7904480"/>
            <wp:effectExtent l="0" t="0" r="10160" b="1270"/>
            <wp:docPr id="4" name="图片 4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数据权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操作日志</w:t>
      </w:r>
    </w:p>
    <w:p>
      <w:pPr>
        <w:numPr>
          <w:ilvl w:val="0"/>
          <w:numId w:val="3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记录系统每一个功能操作。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52805" cy="8347075"/>
            <wp:effectExtent l="0" t="0" r="4445" b="15875"/>
            <wp:docPr id="7" name="图片 7" descr="151358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1358319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83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80"/>
    <w:family w:val="swiss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冬青黑体简体中文 W3">
    <w:altName w:val="黑体"/>
    <w:panose1 w:val="020B0300000000000000"/>
    <w:charset w:val="86"/>
    <w:family w:val="swiss"/>
    <w:pitch w:val="default"/>
    <w:sig w:usb0="00000000" w:usb1="00000000" w:usb2="00000016" w:usb3="00000000" w:csb0="00060007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Roboto Condensed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Poiret One">
    <w:panose1 w:val="02000000000000000000"/>
    <w:charset w:val="00"/>
    <w:family w:val="auto"/>
    <w:pitch w:val="default"/>
    <w:sig w:usb0="A000022F" w:usb1="5000004A" w:usb2="00000000" w:usb3="00000000" w:csb0="00000097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obster">
    <w:panose1 w:val="02000506000000020003"/>
    <w:charset w:val="00"/>
    <w:family w:val="auto"/>
    <w:pitch w:val="default"/>
    <w:sig w:usb0="A00002FF" w:usb1="5000205B" w:usb2="00000000" w:usb3="00000000" w:csb0="20000197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panose1 w:val="020B0606030504020204"/>
    <w:charset w:val="86"/>
    <w:family w:val="auto"/>
    <w:pitch w:val="default"/>
    <w:sig w:usb0="E00002EF" w:usb1="4000205B" w:usb2="00000028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Yu Gothic UI">
    <w:altName w:val="Meiryo UI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Leelawadee UI">
    <w:altName w:val="Leelawadee"/>
    <w:panose1 w:val="020B0502040204020203"/>
    <w:charset w:val="00"/>
    <w:family w:val="auto"/>
    <w:pitch w:val="default"/>
    <w:sig w:usb0="00000000" w:usb1="00000000" w:usb2="00010000" w:usb3="00000001" w:csb0="00010101" w:csb1="0000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Semibold">
    <w:altName w:val="Meiryo UI"/>
    <w:panose1 w:val="020B0700000000000000"/>
    <w:charset w:val="80"/>
    <w:family w:val="auto"/>
    <w:pitch w:val="default"/>
    <w:sig w:usb0="00000000" w:usb1="00000000" w:usb2="00000016" w:usb3="00000000" w:csb0="2002009F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ucidaGrand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w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Liberation Serif">
    <w:altName w:val="宋体"/>
    <w:panose1 w:val="02020603050405020304"/>
    <w:charset w:val="86"/>
    <w:family w:val="roman"/>
    <w:pitch w:val="default"/>
    <w:sig w:usb0="00000000" w:usb1="00000000" w:usb2="00000021" w:usb3="00000000" w:csb0="600001BF" w:csb1="DFF70000"/>
  </w:font>
  <w:font w:name="Cambria">
    <w:panose1 w:val="02040503050406030204"/>
    <w:charset w:val="86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86"/>
    <w:family w:val="roma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roman"/>
    <w:pitch w:val="default"/>
    <w:sig w:usb0="E10002FF" w:usb1="4000ACFF" w:usb2="00000009" w:usb3="00000000" w:csb0="2000019F" w:csb1="00000000"/>
  </w:font>
  <w:font w:name="Liberation Sans">
    <w:altName w:val="宋体"/>
    <w:panose1 w:val="020B0604020202020204"/>
    <w:charset w:val="86"/>
    <w:family w:val="swiss"/>
    <w:pitch w:val="default"/>
    <w:sig w:usb0="00000000" w:usb1="00000000" w:usb2="00000021" w:usb3="00000000" w:csb0="600001BF" w:csb1="DFF70000"/>
  </w:font>
  <w:font w:name="宋?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µÈÏß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D06D5"/>
    <w:multiLevelType w:val="multilevel"/>
    <w:tmpl w:val="5A1D06D5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abstractNum w:abstractNumId="1">
    <w:nsid w:val="5A2BAB29"/>
    <w:multiLevelType w:val="singleLevel"/>
    <w:tmpl w:val="5A2BAB2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2BAB3B"/>
    <w:multiLevelType w:val="singleLevel"/>
    <w:tmpl w:val="5A2BAB3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2BAB4A"/>
    <w:multiLevelType w:val="singleLevel"/>
    <w:tmpl w:val="5A2BAB4A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310E27"/>
    <w:multiLevelType w:val="singleLevel"/>
    <w:tmpl w:val="5A310E2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A3120CC"/>
    <w:multiLevelType w:val="singleLevel"/>
    <w:tmpl w:val="5A3120C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338650"/>
    <w:multiLevelType w:val="singleLevel"/>
    <w:tmpl w:val="5A33865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A338737"/>
    <w:multiLevelType w:val="singleLevel"/>
    <w:tmpl w:val="5A33873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A7C0596"/>
    <w:multiLevelType w:val="singleLevel"/>
    <w:tmpl w:val="5A7C05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A7C1596"/>
    <w:multiLevelType w:val="singleLevel"/>
    <w:tmpl w:val="5A7C15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A7D0A1E"/>
    <w:multiLevelType w:val="singleLevel"/>
    <w:tmpl w:val="5A7D0A1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A7D4BA1"/>
    <w:multiLevelType w:val="singleLevel"/>
    <w:tmpl w:val="5A7D4BA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A7D4BEB"/>
    <w:multiLevelType w:val="singleLevel"/>
    <w:tmpl w:val="5A7D4B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A7D4C0E"/>
    <w:multiLevelType w:val="singleLevel"/>
    <w:tmpl w:val="5A7D4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A7D4D5D"/>
    <w:multiLevelType w:val="singleLevel"/>
    <w:tmpl w:val="5A7D4D5D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A7D5A3C"/>
    <w:multiLevelType w:val="singleLevel"/>
    <w:tmpl w:val="5A7D5A3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5A7D60EE"/>
    <w:multiLevelType w:val="singleLevel"/>
    <w:tmpl w:val="5A7D60E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5A7D736C"/>
    <w:multiLevelType w:val="singleLevel"/>
    <w:tmpl w:val="5A7D73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A7D737F"/>
    <w:multiLevelType w:val="singleLevel"/>
    <w:tmpl w:val="5A7D73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5A80E674"/>
    <w:multiLevelType w:val="singleLevel"/>
    <w:tmpl w:val="5A80E67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A810FD0"/>
    <w:multiLevelType w:val="singleLevel"/>
    <w:tmpl w:val="5A810FD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5A810FE7"/>
    <w:multiLevelType w:val="singleLevel"/>
    <w:tmpl w:val="5A810F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5A810FF9"/>
    <w:multiLevelType w:val="singleLevel"/>
    <w:tmpl w:val="5A810FF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5A811009"/>
    <w:multiLevelType w:val="singleLevel"/>
    <w:tmpl w:val="5A8110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5A81101A"/>
    <w:multiLevelType w:val="singleLevel"/>
    <w:tmpl w:val="5A81101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5A811029"/>
    <w:multiLevelType w:val="singleLevel"/>
    <w:tmpl w:val="5A81102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5A811039"/>
    <w:multiLevelType w:val="singleLevel"/>
    <w:tmpl w:val="5A8110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5A813BF8"/>
    <w:multiLevelType w:val="singleLevel"/>
    <w:tmpl w:val="5A813B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5A814186"/>
    <w:multiLevelType w:val="singleLevel"/>
    <w:tmpl w:val="5A8141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5A81500C"/>
    <w:multiLevelType w:val="singleLevel"/>
    <w:tmpl w:val="5A81500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5A93A14E"/>
    <w:multiLevelType w:val="singleLevel"/>
    <w:tmpl w:val="5A93A1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5A950F17"/>
    <w:multiLevelType w:val="singleLevel"/>
    <w:tmpl w:val="5A950F1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0"/>
  </w:num>
  <w:num w:numId="5">
    <w:abstractNumId w:val="11"/>
  </w:num>
  <w:num w:numId="6">
    <w:abstractNumId w:val="12"/>
  </w:num>
  <w:num w:numId="7">
    <w:abstractNumId w:val="13"/>
  </w:num>
  <w:num w:numId="8">
    <w:abstractNumId w:val="16"/>
  </w:num>
  <w:num w:numId="9">
    <w:abstractNumId w:val="30"/>
  </w:num>
  <w:num w:numId="10">
    <w:abstractNumId w:val="31"/>
  </w:num>
  <w:num w:numId="11">
    <w:abstractNumId w:val="14"/>
  </w:num>
  <w:num w:numId="12">
    <w:abstractNumId w:val="15"/>
  </w:num>
  <w:num w:numId="13">
    <w:abstractNumId w:val="17"/>
  </w:num>
  <w:num w:numId="14">
    <w:abstractNumId w:val="18"/>
  </w:num>
  <w:num w:numId="15">
    <w:abstractNumId w:val="19"/>
  </w:num>
  <w:num w:numId="16">
    <w:abstractNumId w:val="29"/>
  </w:num>
  <w:num w:numId="17">
    <w:abstractNumId w:val="20"/>
  </w:num>
  <w:num w:numId="18">
    <w:abstractNumId w:val="21"/>
  </w:num>
  <w:num w:numId="19">
    <w:abstractNumId w:val="22"/>
  </w:num>
  <w:num w:numId="20">
    <w:abstractNumId w:val="23"/>
  </w:num>
  <w:num w:numId="21">
    <w:abstractNumId w:val="24"/>
  </w:num>
  <w:num w:numId="22">
    <w:abstractNumId w:val="25"/>
  </w:num>
  <w:num w:numId="23">
    <w:abstractNumId w:val="26"/>
  </w:num>
  <w:num w:numId="24">
    <w:abstractNumId w:val="27"/>
  </w:num>
  <w:num w:numId="25">
    <w:abstractNumId w:val="28"/>
  </w:num>
  <w:num w:numId="26">
    <w:abstractNumId w:val="3"/>
  </w:num>
  <w:num w:numId="27">
    <w:abstractNumId w:val="2"/>
  </w:num>
  <w:num w:numId="28">
    <w:abstractNumId w:val="4"/>
  </w:num>
  <w:num w:numId="29">
    <w:abstractNumId w:val="1"/>
  </w:num>
  <w:num w:numId="30">
    <w:abstractNumId w:val="5"/>
  </w:num>
  <w:num w:numId="31">
    <w:abstractNumId w:val="6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8069C"/>
    <w:rsid w:val="00A143E0"/>
    <w:rsid w:val="02E15A20"/>
    <w:rsid w:val="03181295"/>
    <w:rsid w:val="046B4393"/>
    <w:rsid w:val="06BB615B"/>
    <w:rsid w:val="07F74C87"/>
    <w:rsid w:val="080D3013"/>
    <w:rsid w:val="0BB81B85"/>
    <w:rsid w:val="0CEC426D"/>
    <w:rsid w:val="0E8926D4"/>
    <w:rsid w:val="0E8E6A1F"/>
    <w:rsid w:val="0F5E3E93"/>
    <w:rsid w:val="10844C3D"/>
    <w:rsid w:val="11826DF2"/>
    <w:rsid w:val="14AA4311"/>
    <w:rsid w:val="164B334F"/>
    <w:rsid w:val="16A17F6D"/>
    <w:rsid w:val="17044B19"/>
    <w:rsid w:val="176942E5"/>
    <w:rsid w:val="18073FEC"/>
    <w:rsid w:val="19323D94"/>
    <w:rsid w:val="1BE1607B"/>
    <w:rsid w:val="1BFF7865"/>
    <w:rsid w:val="1C4F452D"/>
    <w:rsid w:val="1CF02F42"/>
    <w:rsid w:val="20986F6B"/>
    <w:rsid w:val="21C94BC4"/>
    <w:rsid w:val="22751627"/>
    <w:rsid w:val="2362701D"/>
    <w:rsid w:val="24487126"/>
    <w:rsid w:val="246C5524"/>
    <w:rsid w:val="24B05CA2"/>
    <w:rsid w:val="25677978"/>
    <w:rsid w:val="263E1F9A"/>
    <w:rsid w:val="26C40137"/>
    <w:rsid w:val="278B3A8C"/>
    <w:rsid w:val="2B0F5819"/>
    <w:rsid w:val="2BF06888"/>
    <w:rsid w:val="2CA4736C"/>
    <w:rsid w:val="2D3A4526"/>
    <w:rsid w:val="320408B8"/>
    <w:rsid w:val="33493A83"/>
    <w:rsid w:val="345814C8"/>
    <w:rsid w:val="34EE1411"/>
    <w:rsid w:val="36954B32"/>
    <w:rsid w:val="385B16DB"/>
    <w:rsid w:val="39017ABE"/>
    <w:rsid w:val="3B9C1765"/>
    <w:rsid w:val="3CB3271F"/>
    <w:rsid w:val="3D9D6E46"/>
    <w:rsid w:val="3E246C58"/>
    <w:rsid w:val="3E5E2A46"/>
    <w:rsid w:val="3FEA7BF8"/>
    <w:rsid w:val="408275F8"/>
    <w:rsid w:val="41787B83"/>
    <w:rsid w:val="442F2BB3"/>
    <w:rsid w:val="453C0EF9"/>
    <w:rsid w:val="469D1494"/>
    <w:rsid w:val="48202FFD"/>
    <w:rsid w:val="488964D2"/>
    <w:rsid w:val="489647B2"/>
    <w:rsid w:val="48AB22F7"/>
    <w:rsid w:val="48C514D1"/>
    <w:rsid w:val="4DA95CAC"/>
    <w:rsid w:val="4DB94653"/>
    <w:rsid w:val="4EE93D0F"/>
    <w:rsid w:val="4F067ADE"/>
    <w:rsid w:val="50396A25"/>
    <w:rsid w:val="50897F6A"/>
    <w:rsid w:val="530B73C9"/>
    <w:rsid w:val="54EA75B8"/>
    <w:rsid w:val="559D6605"/>
    <w:rsid w:val="56E14E3A"/>
    <w:rsid w:val="56E84ED6"/>
    <w:rsid w:val="585741EC"/>
    <w:rsid w:val="595F6E02"/>
    <w:rsid w:val="5AEB780F"/>
    <w:rsid w:val="5D1B718C"/>
    <w:rsid w:val="602019AC"/>
    <w:rsid w:val="6158185C"/>
    <w:rsid w:val="61B60AA9"/>
    <w:rsid w:val="63297434"/>
    <w:rsid w:val="64E82694"/>
    <w:rsid w:val="650B04DF"/>
    <w:rsid w:val="68637DEB"/>
    <w:rsid w:val="69E46DDA"/>
    <w:rsid w:val="6B5B45AA"/>
    <w:rsid w:val="6C6D2BA9"/>
    <w:rsid w:val="6D29033A"/>
    <w:rsid w:val="6D302775"/>
    <w:rsid w:val="6D6F27B9"/>
    <w:rsid w:val="70FC4E66"/>
    <w:rsid w:val="712C1343"/>
    <w:rsid w:val="722F74D5"/>
    <w:rsid w:val="73D9600A"/>
    <w:rsid w:val="74181B6D"/>
    <w:rsid w:val="74996D2F"/>
    <w:rsid w:val="79DC1881"/>
    <w:rsid w:val="7A584204"/>
    <w:rsid w:val="7C0D45CC"/>
    <w:rsid w:val="7CBF07BC"/>
    <w:rsid w:val="7E0B1285"/>
    <w:rsid w:val="7FC553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6">
    <w:name w:val="AxureImageParagraph"/>
    <w:basedOn w:val="1"/>
    <w:qFormat/>
    <w:uiPriority w:val="0"/>
    <w:pPr>
      <w:jc w:val="center"/>
    </w:pPr>
  </w:style>
  <w:style w:type="paragraph" w:customStyle="1" w:styleId="17">
    <w:name w:val="小标题"/>
    <w:basedOn w:val="6"/>
    <w:qFormat/>
    <w:uiPriority w:val="0"/>
    <w:rPr>
      <w:sz w:val="20"/>
    </w:rPr>
  </w:style>
  <w:style w:type="paragraph" w:customStyle="1" w:styleId="18">
    <w:name w:val="表格文字"/>
    <w:basedOn w:val="1"/>
    <w:qFormat/>
    <w:uiPriority w:val="0"/>
    <w:pPr>
      <w:widowControl w:val="0"/>
      <w:spacing w:before="25" w:after="25" w:line="300" w:lineRule="auto"/>
      <w:jc w:val="both"/>
    </w:pPr>
    <w:rPr>
      <w:spacing w:val="1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glossaryDocument" Target="glossary/document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32f3838-a289-4571-91bb-5dfc4fbf259d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2f3838-a289-4571-91bb-5dfc4fbf259d}"/>
      </w:docPartPr>
      <w:docPartBody>
        <w:p>
          <w:r>
            <w:rPr>
              <w:rFonts w:asciiTheme="majorHAnsi" w:hAnsiTheme="majorHAnsi" w:eastAsiaTheme="majorEastAsia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{f5a51892-da6e-4292-b6b9-2c6a2d7bce30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5a51892-da6e-4292-b6b9-2c6a2d7bce30}"/>
      </w:docPartPr>
      <w:docPartBody>
        <w:p>
          <w:r>
            <w:rPr>
              <w:rFonts w:asciiTheme="majorHAnsi" w:hAnsiTheme="majorHAnsi" w:eastAsiaTheme="majorEastAsia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2017-11-28T06:31:00Z</dcterms:created>
  <dc:creator>AKE</dc:creator>
  <cp:lastModifiedBy>嘉灵 charlene</cp:lastModifiedBy>
  <dcterms:modified xsi:type="dcterms:W3CDTF">2018-02-27T07:49:53Z</dcterms:modified>
  <dc:subject>产品需求说明书v1</dc:subject>
  <dc:title>艾科运营平台V2.3.0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