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524"/>
      <w:r>
        <w:rPr>
          <w:rFonts w:hint="eastAsia" w:ascii="黑体" w:hAnsi="黑体" w:eastAsia="黑体" w:cs="黑体"/>
          <w:sz w:val="44"/>
          <w:szCs w:val="44"/>
          <w:lang w:val="en-US" w:eastAsia="zh-CN"/>
        </w:rPr>
        <w:t>MPGS V2.4.0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4</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4.0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4</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4.0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15308"/>
      <w:bookmarkStart w:id="4" w:name="_Toc21290"/>
      <w:bookmarkStart w:id="5" w:name="_Toc29727"/>
      <w:bookmarkStart w:id="6" w:name="_Toc25465"/>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2018-01-19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V2.4.0需求文档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2018-02-18</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修改地图配置对应关系展现方式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2018-03-12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修改3.2.3参数设置</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1089"/>
      <w:bookmarkStart w:id="8" w:name="_Toc29388"/>
      <w:bookmarkStart w:id="9" w:name="_Toc17847"/>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_Toc2524 </w:instrText>
      </w:r>
      <w:r>
        <w:rPr>
          <w:rFonts w:hint="eastAsia"/>
          <w:lang w:val="en-US" w:eastAsia="zh-CN"/>
        </w:rPr>
        <w:fldChar w:fldCharType="separate"/>
      </w:r>
      <w:r>
        <w:rPr>
          <w:rFonts w:hint="eastAsia" w:ascii="黑体" w:hAnsi="黑体" w:eastAsia="黑体" w:cs="黑体"/>
          <w:szCs w:val="44"/>
          <w:lang w:val="en-US" w:eastAsia="zh-CN"/>
        </w:rPr>
        <w:t>MPGS V2.4.0</w:t>
      </w:r>
      <w:r>
        <w:tab/>
      </w:r>
      <w:r>
        <w:fldChar w:fldCharType="begin"/>
      </w:r>
      <w:r>
        <w:instrText xml:space="preserve"> PAGEREF _Toc2524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_Toc25465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_Toc25465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_Toc17847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_Toc17847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_Toc27375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_Toc27375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_Toc3041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_Toc3041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_Toc23024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_Toc23024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_Toc29955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_Toc29955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_Toc3127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_Toc3127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_Toc25790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_Toc25790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_Toc14962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_Toc14962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_Toc11887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_Toc11887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_Toc31326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_Toc31326 </w:instrText>
      </w:r>
      <w:r>
        <w:fldChar w:fldCharType="separate"/>
      </w:r>
      <w:r>
        <w:t>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_Toc18762 </w:instrText>
      </w:r>
      <w:r>
        <w:rPr>
          <w:rFonts w:hint="eastAsia"/>
          <w:lang w:val="en-US" w:eastAsia="zh-CN"/>
        </w:rPr>
        <w:fldChar w:fldCharType="separate"/>
      </w:r>
      <w:r>
        <w:rPr>
          <w:rFonts w:hint="eastAsia" w:ascii="黑体" w:hAnsi="黑体" w:eastAsia="黑体" w:cs="黑体"/>
          <w:szCs w:val="30"/>
          <w:lang w:val="en-US" w:eastAsia="zh-CN"/>
        </w:rPr>
        <w:t>3.2.1地图编辑器增加不同类型车位元素</w:t>
      </w:r>
      <w:r>
        <w:tab/>
      </w:r>
      <w:r>
        <w:fldChar w:fldCharType="begin"/>
      </w:r>
      <w:r>
        <w:instrText xml:space="preserve"> PAGEREF _Toc18762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_Toc1291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_Toc22052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_Toc22052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_Toc7158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_Toc7158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_Toc3228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_Toc27660 </w:instrText>
      </w:r>
      <w:r>
        <w:fldChar w:fldCharType="separate"/>
      </w:r>
      <w:r>
        <w:t>10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_Toc4742 </w:instrText>
      </w:r>
      <w:r>
        <w:rPr>
          <w:rFonts w:hint="eastAsia"/>
          <w:lang w:val="en-US" w:eastAsia="zh-CN"/>
        </w:rPr>
        <w:fldChar w:fldCharType="separate"/>
      </w:r>
      <w:r>
        <w:rPr>
          <w:rFonts w:hint="eastAsia" w:ascii="黑体" w:hAnsi="黑体" w:eastAsia="黑体" w:cs="黑体"/>
          <w:szCs w:val="30"/>
          <w:lang w:val="en-US" w:eastAsia="zh-CN"/>
        </w:rPr>
        <w:t>3.2.2 MPGS地图配置修改</w:t>
      </w:r>
      <w:r>
        <w:tab/>
      </w:r>
      <w:r>
        <w:fldChar w:fldCharType="begin"/>
      </w:r>
      <w:r>
        <w:instrText xml:space="preserve"> PAGEREF _Toc4742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_Toc1511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_Toc6090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_Toc31930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_Toc31930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_Toc8723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_Toc2498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_Toc3830 </w:instrText>
      </w:r>
      <w:r>
        <w:rPr>
          <w:rFonts w:hint="eastAsia"/>
          <w:lang w:val="en-US" w:eastAsia="zh-CN"/>
        </w:rPr>
        <w:fldChar w:fldCharType="separate"/>
      </w:r>
      <w:r>
        <w:rPr>
          <w:rFonts w:hint="eastAsia" w:ascii="黑体" w:hAnsi="黑体" w:eastAsia="黑体" w:cs="黑体"/>
          <w:szCs w:val="30"/>
          <w:lang w:val="en-US" w:eastAsia="zh-CN"/>
        </w:rPr>
        <w:t>3.2.3 MPGS增加蒙版配置引导</w:t>
      </w:r>
      <w:r>
        <w:tab/>
      </w:r>
      <w:r>
        <w:fldChar w:fldCharType="begin"/>
      </w:r>
      <w:r>
        <w:instrText xml:space="preserve"> PAGEREF _Toc3830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_Toc16451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_Toc16451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_Toc18573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_Toc32337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_Toc32337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_Toc18316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_Toc18316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_Toc26870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_Toc5979 </w:instrText>
      </w:r>
      <w:r>
        <w:rPr>
          <w:rFonts w:hint="eastAsia"/>
          <w:lang w:val="en-US" w:eastAsia="zh-CN"/>
        </w:rPr>
        <w:fldChar w:fldCharType="separate"/>
      </w:r>
      <w:r>
        <w:rPr>
          <w:rFonts w:hint="eastAsia" w:ascii="黑体" w:hAnsi="黑体" w:eastAsia="黑体" w:cs="黑体"/>
          <w:szCs w:val="30"/>
          <w:lang w:val="en-US" w:eastAsia="zh-CN"/>
        </w:rPr>
        <w:t>3.2.4 增加车位上报流水接口</w:t>
      </w:r>
      <w:r>
        <w:tab/>
      </w:r>
      <w:r>
        <w:fldChar w:fldCharType="begin"/>
      </w:r>
      <w:r>
        <w:instrText xml:space="preserve"> PAGEREF _Toc5979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_Toc30323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_Toc30323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_Toc29637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_Toc29637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_Toc24498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_Toc5421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_Toc5421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_Toc23078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_Toc23078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_Toc10096 </w:instrText>
      </w:r>
      <w:r>
        <w:rPr>
          <w:rFonts w:hint="eastAsia"/>
          <w:lang w:val="en-US" w:eastAsia="zh-CN"/>
        </w:rPr>
        <w:fldChar w:fldCharType="separate"/>
      </w:r>
      <w:r>
        <w:rPr>
          <w:rFonts w:hint="eastAsia" w:ascii="黑体" w:hAnsi="黑体" w:eastAsia="黑体" w:cs="黑体"/>
          <w:szCs w:val="30"/>
          <w:lang w:val="en-US" w:eastAsia="zh-CN"/>
        </w:rPr>
        <w:t>3.2.5 地图编辑器单个元素右键增量更新</w:t>
      </w:r>
      <w:r>
        <w:tab/>
      </w:r>
      <w:r>
        <w:fldChar w:fldCharType="begin"/>
      </w:r>
      <w:r>
        <w:instrText xml:space="preserve"> PAGEREF _Toc10096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_Toc17823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_Toc17823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_Toc2271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_Toc5606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_Toc6641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_Toc15901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_Toc15901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_Toc27552 </w:instrText>
      </w:r>
      <w:r>
        <w:rPr>
          <w:rFonts w:hint="eastAsia"/>
          <w:lang w:val="en-US" w:eastAsia="zh-CN"/>
        </w:rPr>
        <w:fldChar w:fldCharType="separate"/>
      </w:r>
      <w:r>
        <w:rPr>
          <w:rFonts w:hint="eastAsia" w:ascii="黑体" w:hAnsi="黑体" w:eastAsia="黑体" w:cs="黑体"/>
          <w:szCs w:val="30"/>
          <w:lang w:val="en-US" w:eastAsia="zh-CN"/>
        </w:rPr>
        <w:t>3.2.6 增加反向寻车导航路线图片接口</w:t>
      </w:r>
      <w:r>
        <w:tab/>
      </w:r>
      <w:r>
        <w:fldChar w:fldCharType="begin"/>
      </w:r>
      <w:r>
        <w:instrText xml:space="preserve"> PAGEREF _Toc27552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_Toc21558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_Toc18826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_Toc18826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_Toc5370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_Toc5370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_Toc18003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_Toc18003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_Toc30076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_Toc25561 </w:instrText>
      </w:r>
      <w:r>
        <w:rPr>
          <w:rFonts w:hint="eastAsia"/>
          <w:lang w:val="en-US" w:eastAsia="zh-CN"/>
        </w:rPr>
        <w:fldChar w:fldCharType="separate"/>
      </w:r>
      <w:r>
        <w:rPr>
          <w:rFonts w:hint="eastAsia" w:ascii="黑体" w:hAnsi="黑体" w:eastAsia="黑体" w:cs="黑体"/>
          <w:szCs w:val="30"/>
          <w:lang w:val="en-US" w:eastAsia="zh-CN"/>
        </w:rPr>
        <w:t>3.2.7 车位状态接口增加车位最后一张图片、时间查询和无牌车查询</w:t>
      </w:r>
      <w:r>
        <w:tab/>
      </w:r>
      <w:r>
        <w:fldChar w:fldCharType="begin"/>
      </w:r>
      <w:r>
        <w:instrText xml:space="preserve"> PAGEREF _Toc25561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_Toc5352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_Toc5352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_Toc32309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_Toc32309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_Toc14865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_Toc14865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_Toc6050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_Toc8750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_Toc21696 </w:instrText>
      </w:r>
      <w:r>
        <w:rPr>
          <w:rFonts w:hint="eastAsia"/>
          <w:lang w:val="en-US" w:eastAsia="zh-CN"/>
        </w:rPr>
        <w:fldChar w:fldCharType="separate"/>
      </w:r>
      <w:r>
        <w:rPr>
          <w:rFonts w:hint="eastAsia" w:ascii="黑体" w:hAnsi="黑体" w:eastAsia="黑体" w:cs="黑体"/>
          <w:szCs w:val="30"/>
          <w:lang w:val="en-US" w:eastAsia="zh-CN"/>
        </w:rPr>
        <w:t>3.2.8 增加支持查询引导屏的下发列表</w:t>
      </w:r>
      <w:r>
        <w:tab/>
      </w:r>
      <w:r>
        <w:fldChar w:fldCharType="begin"/>
      </w:r>
      <w:r>
        <w:instrText xml:space="preserve"> PAGEREF _Toc21696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_Toc21145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_Toc21145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_Toc13263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_Toc13263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_Toc28061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_Toc28061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_Toc7888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_Toc19088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_Toc19088 </w:instrText>
      </w:r>
      <w:r>
        <w:fldChar w:fldCharType="separate"/>
      </w:r>
      <w:r>
        <w:t>22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_Toc14261 </w:instrText>
      </w:r>
      <w:r>
        <w:rPr>
          <w:rFonts w:hint="eastAsia"/>
          <w:lang w:val="en-US" w:eastAsia="zh-CN"/>
        </w:rPr>
        <w:fldChar w:fldCharType="separate"/>
      </w:r>
      <w:r>
        <w:rPr>
          <w:rFonts w:hint="eastAsia" w:ascii="黑体" w:hAnsi="黑体" w:eastAsia="黑体" w:cs="黑体"/>
          <w:szCs w:val="30"/>
          <w:lang w:val="en-US" w:eastAsia="zh-CN"/>
        </w:rPr>
        <w:t>3.2.9 寻车H5页面增加版权说明</w:t>
      </w:r>
      <w:r>
        <w:tab/>
      </w:r>
      <w:r>
        <w:fldChar w:fldCharType="begin"/>
      </w:r>
      <w:r>
        <w:instrText xml:space="preserve"> PAGEREF _Toc14261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_Toc21446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_Toc21446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_Toc30469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_Toc294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_Toc14489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_Toc15466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_Toc15466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_Toc28520 </w:instrText>
      </w:r>
      <w:r>
        <w:rPr>
          <w:rFonts w:hint="eastAsia"/>
          <w:lang w:val="en-US" w:eastAsia="zh-CN"/>
        </w:rPr>
        <w:fldChar w:fldCharType="separate"/>
      </w:r>
      <w:r>
        <w:rPr>
          <w:rFonts w:hint="eastAsia" w:ascii="黑体" w:hAnsi="黑体" w:eastAsia="黑体" w:cs="黑体"/>
          <w:szCs w:val="30"/>
          <w:lang w:val="en-US" w:eastAsia="zh-CN"/>
        </w:rPr>
        <w:t>3.2.10 区域可以查询其所属车位列表信息</w:t>
      </w:r>
      <w:r>
        <w:tab/>
      </w:r>
      <w:r>
        <w:fldChar w:fldCharType="begin"/>
      </w:r>
      <w:r>
        <w:instrText xml:space="preserve"> PAGEREF _Toc28520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_Toc9293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_Toc16499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_Toc16499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_Toc3634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_Toc1617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_Toc25104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_Toc25104 </w:instrText>
      </w:r>
      <w:r>
        <w:fldChar w:fldCharType="separate"/>
      </w:r>
      <w:r>
        <w:t>25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_Toc2545 </w:instrText>
      </w:r>
      <w:r>
        <w:rPr>
          <w:rFonts w:hint="eastAsia"/>
          <w:lang w:val="en-US" w:eastAsia="zh-CN"/>
        </w:rPr>
        <w:fldChar w:fldCharType="separate"/>
      </w:r>
      <w:r>
        <w:rPr>
          <w:rFonts w:hint="eastAsia" w:ascii="黑体" w:hAnsi="黑体" w:eastAsia="黑体" w:cs="黑体"/>
          <w:szCs w:val="30"/>
          <w:lang w:val="en-US" w:eastAsia="zh-CN"/>
        </w:rPr>
        <w:t>3.2.11 地图编辑器配色规范</w:t>
      </w:r>
      <w:r>
        <w:tab/>
      </w:r>
      <w:r>
        <w:fldChar w:fldCharType="begin"/>
      </w:r>
      <w:r>
        <w:instrText xml:space="preserve"> PAGEREF _Toc2545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_Toc2720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_Toc25224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_Toc17446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_Toc17446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_Toc15807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_Toc15807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_Toc9798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_Toc9798 </w:instrText>
      </w:r>
      <w:r>
        <w:fldChar w:fldCharType="separate"/>
      </w:r>
      <w:r>
        <w:t>27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_Toc6826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_Toc6826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_Toc27079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_Toc27079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_Toc5382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_Toc5382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_Toc12598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_Toc12598 </w:instrText>
      </w:r>
      <w:r>
        <w:fldChar w:fldCharType="separate"/>
      </w:r>
      <w:r>
        <w:t>28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_Toc3022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_Toc3022 </w:instrText>
      </w:r>
      <w:r>
        <w:fldChar w:fldCharType="separate"/>
      </w:r>
      <w:r>
        <w:t>28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_Toc5054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_Toc5054 </w:instrText>
      </w:r>
      <w:r>
        <w:fldChar w:fldCharType="separate"/>
      </w:r>
      <w:r>
        <w:t>29</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0" w:name="_Toc23227"/>
      <w:bookmarkStart w:id="11" w:name="_Toc26893"/>
      <w:bookmarkStart w:id="12" w:name="_Toc27375"/>
      <w:bookmarkStart w:id="13" w:name="_Toc28513"/>
      <w:bookmarkStart w:id="14" w:name="_Toc1909"/>
      <w:bookmarkStart w:id="15" w:name="_Toc17589"/>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7778"/>
            <w:bookmarkStart w:id="17"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041"/>
      <w:bookmarkStart w:id="19" w:name="_Toc31429"/>
      <w:bookmarkStart w:id="20" w:name="_Toc2143"/>
      <w:bookmarkStart w:id="21" w:name="_Toc15886"/>
      <w:bookmarkStart w:id="22" w:name="_Toc9753"/>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23024"/>
      <w:bookmarkStart w:id="24" w:name="_Toc19106"/>
      <w:bookmarkStart w:id="25" w:name="_Toc25502"/>
      <w:bookmarkStart w:id="26" w:name="_Toc15109"/>
      <w:bookmarkStart w:id="27" w:name="_Toc5568"/>
      <w:r>
        <w:rPr>
          <w:rFonts w:hint="eastAsia" w:ascii="黑体" w:hAnsi="黑体" w:eastAsia="黑体" w:cs="黑体"/>
          <w:lang w:val="en-US" w:eastAsia="zh-CN"/>
        </w:rPr>
        <w:t>1.1背景</w:t>
      </w:r>
      <w:bookmarkEnd w:id="23"/>
      <w:bookmarkEnd w:id="24"/>
      <w:bookmarkEnd w:id="25"/>
      <w:bookmarkEnd w:id="26"/>
      <w:bookmarkEnd w:id="27"/>
    </w:p>
    <w:p>
      <w:pPr>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5256"/>
      <w:bookmarkStart w:id="29" w:name="_Toc20322"/>
      <w:bookmarkStart w:id="30" w:name="_Toc10609"/>
      <w:bookmarkStart w:id="31" w:name="_Toc29955"/>
      <w:bookmarkStart w:id="32" w:name="_Toc29668"/>
      <w:r>
        <w:rPr>
          <w:rFonts w:hint="eastAsia" w:ascii="黑体" w:hAnsi="黑体" w:eastAsia="黑体" w:cs="黑体"/>
          <w:szCs w:val="22"/>
          <w:lang w:val="en-US" w:eastAsia="zh-CN"/>
        </w:rPr>
        <w:t>1.2目的</w:t>
      </w:r>
      <w:bookmarkEnd w:id="28"/>
      <w:bookmarkEnd w:id="29"/>
      <w:bookmarkEnd w:id="30"/>
      <w:bookmarkEnd w:id="31"/>
      <w:bookmarkEnd w:id="32"/>
    </w:p>
    <w:p>
      <w:pPr>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10744"/>
      <w:bookmarkStart w:id="34" w:name="_Toc3127"/>
      <w:bookmarkStart w:id="35" w:name="_Toc24270"/>
      <w:bookmarkStart w:id="36" w:name="_Toc23979"/>
      <w:bookmarkStart w:id="37" w:name="_Toc18131"/>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5709"/>
      <w:bookmarkStart w:id="39" w:name="_Toc10993"/>
      <w:bookmarkStart w:id="40" w:name="_Toc25790"/>
      <w:bookmarkStart w:id="41" w:name="_Toc26045"/>
      <w:r>
        <w:rPr>
          <w:rFonts w:hint="eastAsia" w:ascii="黑体" w:hAnsi="黑体" w:eastAsia="黑体" w:cs="黑体"/>
          <w:szCs w:val="22"/>
          <w:lang w:val="en-US" w:eastAsia="zh-CN"/>
        </w:rPr>
        <w:t>2.关键业务流程</w:t>
      </w:r>
      <w:bookmarkEnd w:id="38"/>
      <w:bookmarkEnd w:id="39"/>
      <w:bookmarkEnd w:id="40"/>
      <w:bookmarkEnd w:id="41"/>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27684"/>
      <w:bookmarkStart w:id="43" w:name="_Toc13346"/>
      <w:bookmarkStart w:id="44" w:name="_Toc16460"/>
      <w:bookmarkStart w:id="45" w:name="_Toc2273"/>
      <w:bookmarkStart w:id="46" w:name="_Toc14962"/>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12815"/>
      <w:bookmarkStart w:id="48" w:name="_Toc11887"/>
      <w:bookmarkStart w:id="49" w:name="_Toc22302"/>
      <w:bookmarkStart w:id="50" w:name="_Toc26890"/>
      <w:bookmarkStart w:id="51" w:name="_Toc2749"/>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5290185" cy="3960495"/>
            <wp:effectExtent l="0" t="0" r="5715" b="1905"/>
            <wp:docPr id="4" name="图片 4" descr="E:\工作夹\AKE\2017\-产品\思维导图\MPGS\MPGS V2.4.0功能点.pngMPGS V2.4.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工作夹\AKE\2017\-产品\思维导图\MPGS\MPGS V2.4.0功能点.pngMPGS V2.4.0功能点"/>
                    <pic:cNvPicPr>
                      <a:picLocks noChangeAspect="1"/>
                    </pic:cNvPicPr>
                  </pic:nvPicPr>
                  <pic:blipFill>
                    <a:blip r:embed="rId5"/>
                    <a:srcRect/>
                    <a:stretch>
                      <a:fillRect/>
                    </a:stretch>
                  </pic:blipFill>
                  <pic:spPr>
                    <a:xfrm>
                      <a:off x="0" y="0"/>
                      <a:ext cx="5290185" cy="396049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31326"/>
      <w:bookmarkStart w:id="53" w:name="_Toc3212"/>
      <w:bookmarkStart w:id="54" w:name="_Toc8745"/>
      <w:bookmarkStart w:id="55" w:name="_Toc28457"/>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6" w:name="_Toc516"/>
      <w:bookmarkStart w:id="57" w:name="_Toc4849"/>
      <w:bookmarkStart w:id="58" w:name="_Toc28219"/>
      <w:bookmarkStart w:id="59" w:name="_Toc18762"/>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地图编辑器增加不同类型车位元素</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291"/>
      <w:bookmarkStart w:id="61" w:name="_Toc78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在地图编辑器元素管理中增加不同类型的车位元素，包括临时车位、固定车位、租用车位、免费车位和预定车位五种；增加对元素增加右键复制粘贴功能。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25490"/>
      <w:bookmarkStart w:id="63" w:name="_Toc2205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2995" cy="4946015"/>
            <wp:effectExtent l="0" t="0" r="1905" b="6985"/>
            <wp:docPr id="2" name="图片 2" descr="1_1地图编辑器增加不同类型车位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1地图编辑器增加不同类型车位元素"/>
                    <pic:cNvPicPr>
                      <a:picLocks noChangeAspect="1"/>
                    </pic:cNvPicPr>
                  </pic:nvPicPr>
                  <pic:blipFill>
                    <a:blip r:embed="rId6"/>
                    <a:stretch>
                      <a:fillRect/>
                    </a:stretch>
                  </pic:blipFill>
                  <pic:spPr>
                    <a:xfrm>
                      <a:off x="0" y="0"/>
                      <a:ext cx="6182995" cy="494601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对地图编辑器中的车位元素进行类型区分，增加临时车位、固定车位、租用车位、免费车位和预订车位这五种车位类型。不同车位类型以不同颜色进行区分，可新增不同类型的车位元素。</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鼠标移动到车位图标上时显示该车位图标的元素名称，如下图，鼠标移入到临时车位图标时，显示元素名称：临时车位。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（3）增加复制粘贴的右键功能键，选中某个车位元素单击右键，可复制粘贴该元素，复制粘贴生成的元素编号在原来的元素尾号上加1。如原车位元素编号为CW，那么复制粘贴的车位元素编号为CW1。</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（4）复制粘贴的元素跟原来的元素除了元素编号外，其他配置均一致。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6181725" cy="297688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6181725" cy="297688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7158"/>
      <w:bookmarkStart w:id="65" w:name="_Toc3086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7426"/>
      <w:bookmarkStart w:id="67" w:name="_Toc322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27660"/>
      <w:bookmarkStart w:id="69" w:name="_Toc1079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0" w:name="_Toc4742"/>
      <w:r>
        <w:rPr>
          <w:rFonts w:hint="eastAsia" w:ascii="黑体" w:hAnsi="黑体" w:eastAsia="黑体" w:cs="黑体"/>
          <w:sz w:val="30"/>
          <w:szCs w:val="30"/>
          <w:lang w:val="en-US" w:eastAsia="zh-CN"/>
        </w:rPr>
        <w:t>3.2.2 MPGS地图配置修改</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51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对MPGS系统管理-地图配置模块重新定义规划，用户可根据需要新增地图元素类型，并通过与系统元素类型进行挂钩联系，使得在地图上添加的元素不仅可显示，还可进行实际的业务处理。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60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78550" cy="2845435"/>
            <wp:effectExtent l="0" t="0" r="6350" b="12065"/>
            <wp:docPr id="3" name="图片 3" descr="E:\工作夹\AKE\2017\-产品\原型导出图片\MPGS\V2.4.0\2_1mpgs后台增加地图对应关系（交互）.png2_1mpgs后台增加地图对应关系（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4.0\2_1mpgs后台增加地图对应关系（交互）.png2_1mpgs后台增加地图对应关系（交互）"/>
                    <pic:cNvPicPr>
                      <a:picLocks noChangeAspect="1"/>
                    </pic:cNvPicPr>
                  </pic:nvPicPr>
                  <pic:blipFill>
                    <a:blip r:embed="rId8"/>
                    <a:srcRect/>
                    <a:stretch>
                      <a:fillRect/>
                    </a:stretch>
                  </pic:blipFill>
                  <pic:spPr>
                    <a:xfrm>
                      <a:off x="0" y="0"/>
                      <a:ext cx="6178550" cy="28454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调整地图配置列表，列表字段包括地图类型名称、地图类型编码、对应系统类型名称、对应系统类型编码、对应状态及属性和操作列。</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对应状态及属性显示“查看”，点击弹出弹窗可查看详细的系统状态名称、编码和系统属性名称、编码。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25845" cy="2839085"/>
            <wp:effectExtent l="0" t="0" r="8255" b="5715"/>
            <wp:docPr id="6" name="图片 6" descr="E:\工作夹\AKE\2017\-产品\原型导出图片\MPGS\V2.4.0\1_2对应属性.png1_2对应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工作夹\AKE\2017\-产品\原型导出图片\MPGS\V2.4.0\1_2对应属性.png1_2对应属性"/>
                    <pic:cNvPicPr>
                      <a:picLocks noChangeAspect="1"/>
                    </pic:cNvPicPr>
                  </pic:nvPicPr>
                  <pic:blipFill>
                    <a:blip r:embed="rId9"/>
                    <a:srcRect/>
                    <a:stretch>
                      <a:fillRect/>
                    </a:stretch>
                  </pic:blipFill>
                  <pic:spPr>
                    <a:xfrm>
                      <a:off x="0" y="0"/>
                      <a:ext cx="6125845" cy="28390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新增元素类型，用户填写地图类型名称及地图类型编码，并选择对应的系统类型，下方显示该类型对应的系统状态及属性的名称编码关系表。例如选择CW-车位类型时，将会在下方显示对应车位类型的系统状态名称编码和系统属性名称编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用户选择了对应系统类型后，地图的属性、状态名称和编码根据系统属性、状态的名称和编码自动带入。新建元素类型成功后可在对应属性、对应状态中查看地图属性、状态名称和编码。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操作列-编辑：点击弹出编辑弹窗，用户可修改地图类型名称、编码和对应系统类型。确认修改操作后将修改后的对应关系为准，地图编辑器上的元素需作同步修改才能对该元素作业务处理。</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只有当新增的地图元素的类型、属性、状态均与系统类型、属性和状态一一对应时，用户在地图编辑器上使用该元素，系统才会对该元素做相应的业务处理。</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新增的地图类型名称必须唯一、不可重复。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090285" cy="3317240"/>
            <wp:effectExtent l="0" t="0" r="5715" b="10160"/>
            <wp:docPr id="24" name="图片 24" descr="E:\工作夹\AKE\2017\-产品\原型导出图片\MPGS\V2.4.0\2_2内页展示.png2_2内页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工作夹\AKE\2017\-产品\原型导出图片\MPGS\V2.4.0\2_2内页展示.png2_2内页展示"/>
                    <pic:cNvPicPr>
                      <a:picLocks noChangeAspect="1"/>
                    </pic:cNvPicPr>
                  </pic:nvPicPr>
                  <pic:blipFill>
                    <a:blip r:embed="rId10"/>
                    <a:srcRect/>
                    <a:stretch>
                      <a:fillRect/>
                    </a:stretch>
                  </pic:blipFill>
                  <pic:spPr>
                    <a:xfrm>
                      <a:off x="0" y="0"/>
                      <a:ext cx="6090285" cy="33172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增加“地图配置关系表”按钮，点击弹出地图配置关系表弹窗，方便用户查看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53150" cy="2855595"/>
            <wp:effectExtent l="0" t="0" r="6350" b="1905"/>
            <wp:docPr id="8" name="图片 8" descr="E:\工作夹\AKE\2017\-产品\原型导出图片\MPGS\V2.4.0\1_2地图配置关系表.png1_2地图配置关系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工作夹\AKE\2017\-产品\原型导出图片\MPGS\V2.4.0\1_2地图配置关系表.png1_2地图配置关系表"/>
                    <pic:cNvPicPr>
                      <a:picLocks noChangeAspect="1"/>
                    </pic:cNvPicPr>
                  </pic:nvPicPr>
                  <pic:blipFill>
                    <a:blip r:embed="rId11"/>
                    <a:srcRect/>
                    <a:stretch>
                      <a:fillRect/>
                    </a:stretch>
                  </pic:blipFill>
                  <pic:spPr>
                    <a:xfrm>
                      <a:off x="0" y="0"/>
                      <a:ext cx="6153150" cy="2855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object>
          <v:shape id="_x0000_i1025" o:spt="75" type="#_x0000_t75" style="height:65.5pt;width:72.5pt;" o:ole="t" filled="f" o:preferrelative="t" stroked="f" coordsize="21600,21600">
            <v:path/>
            <v:fill on="f" focussize="0,0"/>
            <v:stroke on="f"/>
            <v:imagedata r:id="rId13" o:title=""/>
            <o:lock v:ext="edit" aspectratio="t"/>
            <w10:wrap type="none"/>
            <w10:anchorlock/>
          </v:shape>
          <o:OLEObject Type="Embed" ProgID="Excel.Sheet.8" ShapeID="_x0000_i1025" DrawAspect="Icon" ObjectID="_1468075725" r:id="rId12">
            <o:LockedField>false</o:LockedField>
          </o:OLEObject>
        </w:objec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193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872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49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6" w:name="_Toc3830"/>
      <w:bookmarkStart w:id="161" w:name="_GoBack"/>
      <w:bookmarkEnd w:id="161"/>
      <w:r>
        <w:rPr>
          <w:rFonts w:hint="eastAsia" w:ascii="黑体" w:hAnsi="黑体" w:eastAsia="黑体" w:cs="黑体"/>
          <w:sz w:val="30"/>
          <w:szCs w:val="30"/>
          <w:lang w:val="en-US" w:eastAsia="zh-CN"/>
        </w:rPr>
        <w:t>3.2.3 MPGS增加蒙版配置引导</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64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用户初次使用系统时弹出提示配置弹窗，引导用户对系统参数和中间件进行配置，用户可选择立即开始配置，也可以稍后再配置。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1857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b/>
          <w:bCs/>
          <w:sz w:val="24"/>
          <w:szCs w:val="24"/>
          <w:lang w:val="en-US" w:eastAsia="zh-CN"/>
        </w:rPr>
      </w:pPr>
      <w:r>
        <w:rPr>
          <w:rFonts w:hint="eastAsia" w:ascii="黑体" w:hAnsi="黑体" w:eastAsia="黑体" w:cs="黑体"/>
          <w:sz w:val="21"/>
          <w:szCs w:val="21"/>
          <w:lang w:val="en-US" w:eastAsia="zh-CN"/>
        </w:rPr>
        <w:drawing>
          <wp:inline distT="0" distB="0" distL="114300" distR="114300">
            <wp:extent cx="6186805" cy="2830830"/>
            <wp:effectExtent l="0" t="0" r="10795" b="1270"/>
            <wp:docPr id="11" name="图片 11" descr="E:\工作夹\AKE\2017\-产品\原型导出图片\MPGS\V2.4.0\3_1配置引导页.png3_1配置引导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工作夹\AKE\2017\-产品\原型导出图片\MPGS\V2.4.0\3_1配置引导页.png3_1配置引导页"/>
                    <pic:cNvPicPr>
                      <a:picLocks noChangeAspect="1"/>
                    </pic:cNvPicPr>
                  </pic:nvPicPr>
                  <pic:blipFill>
                    <a:blip r:embed="rId14"/>
                    <a:srcRect/>
                    <a:stretch>
                      <a:fillRect/>
                    </a:stretch>
                  </pic:blipFill>
                  <pic:spPr>
                    <a:xfrm>
                      <a:off x="0" y="0"/>
                      <a:ext cx="6186805" cy="28308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用户初次使用系统时将弹出提示配置弹窗，提示用户可以直接开始进入配置，也可稍后在车场管理-参数配置中进行配置。</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用户点击“开始配置”将跳转至参数配置页面，每个配置项都有带有释义，点击问号弹出释义弹窗，确认操作将保存并应用当前编辑的操作，取消则取消当前操作。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3630" cy="2588260"/>
            <wp:effectExtent l="0" t="0" r="1270" b="2540"/>
            <wp:docPr id="29" name="图片 29" descr="E:\工作夹\AKE\2017\-产品\原型导出图片\MPGS\V2.4.0\3_2参数配置页面修改.png3_2参数配置页面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MPGS\V2.4.0\3_2参数配置页面修改.png3_2参数配置页面修改"/>
                    <pic:cNvPicPr>
                      <a:picLocks noChangeAspect="1"/>
                    </pic:cNvPicPr>
                  </pic:nvPicPr>
                  <pic:blipFill>
                    <a:blip r:embed="rId15"/>
                    <a:srcRect/>
                    <a:stretch>
                      <a:fillRect/>
                    </a:stretch>
                  </pic:blipFill>
                  <pic:spPr>
                    <a:xfrm>
                      <a:off x="0" y="0"/>
                      <a:ext cx="6183630" cy="25882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265" cy="7446645"/>
            <wp:effectExtent l="0" t="0" r="635" b="8255"/>
            <wp:docPr id="5" name="图片 5" descr="E:\工作夹\AKE\2017\-产品\原型导出图片\MPGS\V2.4.0\参数配置_state1.png参数配置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工作夹\AKE\2017\-产品\原型导出图片\MPGS\V2.4.0\参数配置_state1.png参数配置_state1"/>
                    <pic:cNvPicPr>
                      <a:picLocks noChangeAspect="1"/>
                    </pic:cNvPicPr>
                  </pic:nvPicPr>
                  <pic:blipFill>
                    <a:blip r:embed="rId16"/>
                    <a:srcRect/>
                    <a:stretch>
                      <a:fillRect/>
                    </a:stretch>
                  </pic:blipFill>
                  <pic:spPr>
                    <a:xfrm>
                      <a:off x="0" y="0"/>
                      <a:ext cx="6184265" cy="7446645"/>
                    </a:xfrm>
                    <a:prstGeom prst="rect">
                      <a:avLst/>
                    </a:prstGeom>
                  </pic:spPr>
                </pic:pic>
              </a:graphicData>
            </a:graphic>
          </wp:inline>
        </w:drawing>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当前系统语言，默认为0；</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此项用于设置系统语言；0-简体中文，1-繁体中文，2-英文。</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车牌图片和历史记录的保存时间，默认保存7天；</w:t>
      </w:r>
      <w:r>
        <w:rPr>
          <w:rFonts w:hint="eastAsia" w:ascii="黑体" w:hAnsi="黑体" w:eastAsia="黑体" w:cs="黑体"/>
          <w:color w:val="FF0000"/>
          <w:sz w:val="21"/>
          <w:szCs w:val="21"/>
          <w:lang w:val="en-US" w:eastAsia="zh-CN"/>
        </w:rPr>
        <w:t>（新增）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 xml:space="preserve">    </w:t>
      </w:r>
      <w:r>
        <w:rPr>
          <w:rFonts w:hint="eastAsia" w:ascii="黑体" w:hAnsi="黑体" w:eastAsia="黑体" w:cs="黑体"/>
          <w:color w:val="535353" w:themeColor="accent3" w:themeShade="80"/>
          <w:sz w:val="21"/>
          <w:szCs w:val="21"/>
          <w:lang w:val="en-US" w:eastAsia="zh-CN"/>
        </w:rPr>
        <w:t>点击问号的弹窗说明：保存时间请根据硬盘大小和实际业务数量来设定。</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系统超时时间：默认超时时间为0，即不超时；</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系统超时将自动退出登录状态，需重新登录系统；设置为0，默认系统不超时。</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停车场是否支持跨层寻车，默认开启，支持跨层寻车；</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（1）若开启此项设定，车主可获取缴费机与车辆不同楼层的寻车路线；</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（2）若关闭此项设定，则车主只能获取缴费机和车辆为同一层的寻车路线。</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停车场是否支持蓝牙寻车，默认关闭，即默认不支持蓝牙寻车。</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请根据车场实际情况设定此项配置。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app指定UUID</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此项用于设定蓝牙动态反向寻车中app指定的UUID。</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蓝牙收集信号次数，默认3次</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（1）此项用于设定用户进行蓝牙寻车时收集蓝牙信号的次数；</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（2）蓝牙收集信号次数：用户打开微信进行蓝牙寻车时，将自动搜索附近的蓝牙信号。因未必能一次收集到蓝牙信号，故可以设定打开微信后收集蓝牙信号的次数，以确保在可收集范围内对蓝牙信号收集成功。</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微信首次搜索秒数，默认60秒</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（1）此项用于设定微信搜索蓝牙信号的等待时间。用户打开微信进行蓝牙寻车时，将自动搜索附近的蓝牙信号。若不设定等待时间，将一直处于搜索蓝牙信号状态。</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（2）当微信搜索蓝牙信号的时间超出所设定的搜索秒数（等待时间）后，将停止搜索并提示用户。</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一点停地址，默认https://wxydt.yidianting.xin/weixin</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此项用于设定蓝牙动态反向寻车的一点停地址。</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Beacon数据上报平台认证地址，默认https://devnew.yidianting.xin/weixin</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此项用于设定蓝牙动态反向寻车的beacon数据上报平台认证地址。</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统计是否以车位数据为准，默认开启</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（1）若开启此项设定，将默认按车位的占用/空闲数据来统计剩余车位；</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（2）若关闭此项设定，且开启“统计X小时的在场剩余（时）”，将默认按X小时的在场剩余来统计剩余车位。</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统计X小时的在场剩余（时），默认24小时，默认关闭状态</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（1）若开启此项设定，将默认按X小时的在场剩余来统计剩余车位；如设为24小时，将统计当前时间往前24小时的剩余车位；</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（3）若关闭此项设定，且开启“统计是否以车位数据为准”，将默认按车位的占用/空闲数据来统计剩余车位。</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约束条件：</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“统计是否以车位数据为准”和“统计X小时的在场剩余”两项设定为互斥关系；</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若“统计X小时的在场剩余”处于开启状态，当用户开启“统计是否以车位数据为准”时，将自动关闭“统计X小时的在场剩余”；</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若“统计是否以车位数据为准”处于开启状态，当用户开启“统计X小时的在场剩余”时，将自动关闭“统计是否以车位数据为准”；</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若两项设定同时为关闭状态，系统默认采用“统计是否以车位数据为准”设定。</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车位的最短变更时限，默认开启，最短变更时限默认5秒；</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（1）此配置用于设定接受连续两次车位上报数据并作业务处理的最短相隔时间；</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（2）若连续两次车位上报数据的时间小于设定值系统将对后一次上报数据不作业务处理；</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（3）若关闭此项设定，系统将对每条车位上报数据都进行业务处理。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同车位在指定时间内相同车牌合并为一条记录，默认开启，指定时间默认为10分钟；</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（1）假如指定时间为T，A车在T1时刻进场停入B车位，在T2时刻再次上报A车停入B车位的数据，且T2-T1&lt;T，那么此时将A车判定为异常在场，进场时间默认为T1；</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（2）当A车在T1时刻进场停入B车位，C车在T2时刻停入B车位，A车在T3时刻停入B车位，且T3-T1&lt;T，那么此时也将A车判定为异常在场，进场时间默认为T3；</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（3）若关闭此项设定，系统将直接对上报数据进行业务处理（不合并为同一条记录）。</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无牌车接受业务变化的最小次数，默认开启，最小次数默认1次。</w:t>
      </w:r>
      <w:r>
        <w:rPr>
          <w:rFonts w:hint="eastAsia" w:ascii="黑体" w:hAnsi="黑体" w:eastAsia="黑体" w:cs="黑体"/>
          <w:color w:val="FF0000"/>
          <w:sz w:val="21"/>
          <w:szCs w:val="21"/>
          <w:lang w:val="en-US" w:eastAsia="zh-CN"/>
        </w:rPr>
        <w:t>（因设置重复，去掉了“接受无牌车数据”一项设置）</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（1）无牌车指的是有车无牌的车辆数据；</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（2）同一车位只有当无牌车上报次数多于设定的最小次数时才会处理成在场记录；</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（3）若关闭此项设定，系统将不接受无牌车数据。</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接受车位变化的最小模糊阈值，默认开启，最小模糊阈值默认20；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（1）当同一车位连续两次上报有车状态数据时，系统会比对数据计算出一个阈值，阈值越高，两次数据越可能为同一车牌；</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（2）当系统计算的阈值小于设定阈值时才会对上报数据进行业务处理；</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（3）若关闭此项设定，系统将不对模糊阈值进行判断，直接对上报数据进行业务处理。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车场模糊匹配阈值，默认开启，阈值默认为20；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（1）车辆进场数据上报时，系统会对车辆与场内已有车辆进行比对，当系统计算的阈值超过设定的模糊匹配阈值时，系统会判定该车与已有车辆为同一辆车；</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（2）进场时间靠前的数据将被认为异常在场；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（3）若关闭此项设定，系统将不对模糊阈值进行判断，直接对上报数据进行业务处理。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区域模糊匹配阈值，默认开启，阈值默认为20。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（1）车辆进场数据上报时，系统会对车辆与场内已有车辆进行比对，当系统计算的阈值超过设定的模糊匹配阈值时，系统会判定该车与已有车辆为同一辆车；进场时间靠前的数据将被认为异常在场；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（2）若关闭此项设定，系统将不对模糊阈值进行判断，直接对上报数据进行业务处理。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535353" w:themeColor="accent3" w:themeShade="80"/>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业务变化接受第三方的进场数据，默认开启；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（1）若开启此项设定，将对第三方接口上报的进场数据进行业务采用；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（2）若关闭此项设定，则不对第三方接口上报的进场数据进行业务采用。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业务变化接受第三方的离场数据，默认开启。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（1）若开启此项设定，将对第三方接口上报的离场数据进行业务采用；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（2）若关闭此项设定，则不对第三方接口上报的离场数据进行业务采用。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整个停车场进出接受车位进出变化，默认开启；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（1）若开启此项设定，停车场统计数据时接受车位的数据变化；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整个停车场进出接受区域进出变化，默认开启；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（1）若开启此项设定，停车场统计数据时接受区域的数据变化；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整个停车场进出接受接口进出变化，默认开启。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（1）若开启此项设定，停车场统计数据时接受第三方接口上报的数据变化；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寻车H5页面显示版权说明，默认开启；</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（1）若开启此项设定，寻车H5页面将显示版权说明；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（2）若关闭此项设定，则不在寻车H5页面显示版权说明。</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采集信号强度大于X时为采信，默认开启，默认值为-75。</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（1）设定采信数据时的信号强度，当采集信号强度大于设定值时，才会对数据进行采信；</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（2）若关闭此项设定，系统将不对信号强度进行判定，直接对数据进行采信处理。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VEMS地址，默认留空；</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接收VEMS上报的进场图片，需要访问VEMS系统的地址。此处填入VEMS系统的地址。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用户完成参数配置后，可直接点击“中间件配置”跳转至后台管理-中间件界面对中间件进行配置。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49245"/>
            <wp:effectExtent l="0" t="0" r="2540" b="8255"/>
            <wp:docPr id="12" name="图片 12" descr="E:\工作夹\AKE\2017\-产品\原型导出图片\MPGS\V2.4.0\3_3中间件配置页面.png3_3中间件配置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工作夹\AKE\2017\-产品\原型导出图片\MPGS\V2.4.0\3_3中间件配置页面.png3_3中间件配置页面"/>
                    <pic:cNvPicPr>
                      <a:picLocks noChangeAspect="1"/>
                    </pic:cNvPicPr>
                  </pic:nvPicPr>
                  <pic:blipFill>
                    <a:blip r:embed="rId17"/>
                    <a:srcRect/>
                    <a:stretch>
                      <a:fillRect/>
                    </a:stretch>
                  </pic:blipFill>
                  <pic:spPr>
                    <a:xfrm>
                      <a:off x="0" y="0"/>
                      <a:ext cx="6182360" cy="28492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3233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1831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687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2" w:name="_Toc5979"/>
      <w:r>
        <w:rPr>
          <w:rFonts w:hint="eastAsia" w:ascii="黑体" w:hAnsi="黑体" w:eastAsia="黑体" w:cs="黑体"/>
          <w:sz w:val="30"/>
          <w:szCs w:val="30"/>
          <w:lang w:val="en-US" w:eastAsia="zh-CN"/>
        </w:rPr>
        <w:t>3.2.4 增加车位上报流水接口</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3032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（1）增加车位上报流水对外接口；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（2）车位上报流水包含以下字段：车位编号、车牌照片、车牌号码、上报时间、业务类型和业务采用。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963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2449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542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307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8" w:name="_Toc10096"/>
      <w:r>
        <w:rPr>
          <w:rFonts w:hint="eastAsia" w:ascii="黑体" w:hAnsi="黑体" w:eastAsia="黑体" w:cs="黑体"/>
          <w:sz w:val="30"/>
          <w:szCs w:val="30"/>
          <w:lang w:val="en-US" w:eastAsia="zh-CN"/>
        </w:rPr>
        <w:t>3.2.5 地图编辑器单个元素右键增量更新</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782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存在的问题：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因为地图编辑器当前未实现增量更新，当在地图编辑器上传数据后，后台数据都会全部初始化，原来有车的车位可能会全部初始化成无车的状态，会造成数据不准确的问题。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解决方案：</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（1）用户可针对单个元素进行右键更新（上传单个元素的修改数据）；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（2）单个元素的更新为增量更新，不对系统进行初始化操作。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27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80455" cy="2872105"/>
            <wp:effectExtent l="0" t="0" r="4445" b="10795"/>
            <wp:docPr id="31" name="图片 31" descr="5_地图编辑器单个元素右键增量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_地图编辑器单个元素右键增量更新"/>
                    <pic:cNvPicPr>
                      <a:picLocks noChangeAspect="1"/>
                    </pic:cNvPicPr>
                  </pic:nvPicPr>
                  <pic:blipFill>
                    <a:blip r:embed="rId18"/>
                    <a:stretch>
                      <a:fillRect/>
                    </a:stretch>
                  </pic:blipFill>
                  <pic:spPr>
                    <a:xfrm>
                      <a:off x="0" y="0"/>
                      <a:ext cx="6180455" cy="28721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（1）增加右键功能键“更新数据”；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（2）用户对单个元素进行编辑操作后，选中该元素，点击“更新数据”，对该元素的修改进行保存和更新数据；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（3）“更新数据”为增量更新，不对系统初始化，不影响的系统数据。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560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664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590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4" w:name="_Toc27552"/>
      <w:r>
        <w:rPr>
          <w:rFonts w:hint="eastAsia" w:ascii="黑体" w:hAnsi="黑体" w:eastAsia="黑体" w:cs="黑体"/>
          <w:sz w:val="30"/>
          <w:szCs w:val="30"/>
          <w:lang w:val="en-US" w:eastAsia="zh-CN"/>
        </w:rPr>
        <w:t>3.2.6 增加反向寻车导航路线图片接口</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155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（1）增加反向寻车导航路线图片对外接口；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（2）为第三方嵌入MPGS 寻车h5页面提供静态寻车的路线图片。</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1882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537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1800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3007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0" w:name="_Toc25561"/>
      <w:r>
        <w:rPr>
          <w:rFonts w:hint="eastAsia" w:ascii="黑体" w:hAnsi="黑体" w:eastAsia="黑体" w:cs="黑体"/>
          <w:sz w:val="30"/>
          <w:szCs w:val="30"/>
          <w:lang w:val="en-US" w:eastAsia="zh-CN"/>
        </w:rPr>
        <w:t>3.2.7 车位状态接口增加车位最后一张图片、时间查询和无牌车查询</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535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（1）在车位状态接口增加车位最后一张图片、时间查询和无牌车查询的字段；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3230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486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60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87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6" w:name="_Toc21696"/>
      <w:r>
        <w:rPr>
          <w:rFonts w:hint="eastAsia" w:ascii="黑体" w:hAnsi="黑体" w:eastAsia="黑体" w:cs="黑体"/>
          <w:sz w:val="30"/>
          <w:szCs w:val="30"/>
          <w:lang w:val="en-US" w:eastAsia="zh-CN"/>
        </w:rPr>
        <w:t>3.2.8 增加支持查询引导屏的下发列表</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114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在设备管理-屏管理的列表中增加“下发内容”字段，同步显示引导屏最后一次的下发内容（当前显示内容）。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1326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2853055"/>
            <wp:effectExtent l="0" t="0" r="10795" b="4445"/>
            <wp:docPr id="18" name="图片 18" descr="7_增加支持查询引导屏的下发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_增加支持查询引导屏的下发列表"/>
                    <pic:cNvPicPr>
                      <a:picLocks noChangeAspect="1"/>
                    </pic:cNvPicPr>
                  </pic:nvPicPr>
                  <pic:blipFill>
                    <a:blip r:embed="rId19"/>
                    <a:stretch>
                      <a:fillRect/>
                    </a:stretch>
                  </pic:blipFill>
                  <pic:spPr>
                    <a:xfrm>
                      <a:off x="0" y="0"/>
                      <a:ext cx="6186805" cy="28530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8061"/>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788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1908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2" w:name="_Toc14261"/>
      <w:r>
        <w:rPr>
          <w:rFonts w:hint="eastAsia" w:ascii="黑体" w:hAnsi="黑体" w:eastAsia="黑体" w:cs="黑体"/>
          <w:sz w:val="30"/>
          <w:szCs w:val="30"/>
          <w:lang w:val="en-US" w:eastAsia="zh-CN"/>
        </w:rPr>
        <w:t>3.2.9 寻车H5页面增加版权说明</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2144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（1）在MPGS寻车H5界面底部增加艾科智泊的版权说明；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（2）在MPGS后台可配置此版权说明是否显示。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4" w:name="_Toc3046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（1）在寻车H5页面底部增加艾科智泊的版权说明；</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2312035" cy="4116070"/>
            <wp:effectExtent l="0" t="0" r="12065" b="11430"/>
            <wp:docPr id="19" name="图片 19" descr="8_1寻车h5页面增加版权说明，配置修改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_1寻车h5页面增加版权说明，配置修改项"/>
                    <pic:cNvPicPr>
                      <a:picLocks noChangeAspect="1"/>
                    </pic:cNvPicPr>
                  </pic:nvPicPr>
                  <pic:blipFill>
                    <a:blip r:embed="rId20"/>
                    <a:stretch>
                      <a:fillRect/>
                    </a:stretch>
                  </pic:blipFill>
                  <pic:spPr>
                    <a:xfrm>
                      <a:off x="0" y="0"/>
                      <a:ext cx="2312035" cy="4116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（2）MPGS车场管理-参数配置增加寻车H5界面是否显示版权说明的配置，默认开启。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51785"/>
            <wp:effectExtent l="0" t="0" r="8890" b="5715"/>
            <wp:docPr id="20" name="图片 20" descr="8_2mpgs后台增加版权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_2mpgs后台增加版权配置"/>
                    <pic:cNvPicPr>
                      <a:picLocks noChangeAspect="1"/>
                    </pic:cNvPicPr>
                  </pic:nvPicPr>
                  <pic:blipFill>
                    <a:blip r:embed="rId21"/>
                    <a:stretch>
                      <a:fillRect/>
                    </a:stretch>
                  </pic:blipFill>
                  <pic:spPr>
                    <a:xfrm>
                      <a:off x="0" y="0"/>
                      <a:ext cx="6188710" cy="285178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9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448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1546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8" w:name="_Toc28520"/>
      <w:r>
        <w:rPr>
          <w:rFonts w:hint="eastAsia" w:ascii="黑体" w:hAnsi="黑体" w:eastAsia="黑体" w:cs="黑体"/>
          <w:sz w:val="30"/>
          <w:szCs w:val="30"/>
          <w:lang w:val="en-US" w:eastAsia="zh-CN"/>
        </w:rPr>
        <w:t>3.2.10 区域可以查询其所属车位列表信息</w:t>
      </w:r>
      <w:bookmarkEnd w:id="11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929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在车场管理-区域管理中增加可以查询某区域所属的详细车位列表信息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1649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在车场管理-区域管理的操作列中增加“详情”按钮；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51785"/>
            <wp:effectExtent l="0" t="0" r="8890" b="5715"/>
            <wp:docPr id="22" name="图片 22" descr="9_区域可以查询其包含车位列表信息（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_区域可以查询其包含车位列表信息（交互）"/>
                    <pic:cNvPicPr>
                      <a:picLocks noChangeAspect="1"/>
                    </pic:cNvPicPr>
                  </pic:nvPicPr>
                  <pic:blipFill>
                    <a:blip r:embed="rId22"/>
                    <a:stretch>
                      <a:fillRect/>
                    </a:stretch>
                  </pic:blipFill>
                  <pic:spPr>
                    <a:xfrm>
                      <a:off x="0" y="0"/>
                      <a:ext cx="6188710" cy="28517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点击“详情”按钮，弹出属于该区域的所有车位详情；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（3）车位详情带搜索筛选框，可直接搜索指定的车位，并可查看车位所带的探测器的详情。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49880"/>
            <wp:effectExtent l="0" t="0" r="0" b="7620"/>
            <wp:docPr id="21" name="图片 21" descr="9_区域可以查询其包含车位列表信息（交互）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_区域可以查询其包含车位列表信息（交互）2"/>
                    <pic:cNvPicPr>
                      <a:picLocks noChangeAspect="1"/>
                    </pic:cNvPicPr>
                  </pic:nvPicPr>
                  <pic:blipFill>
                    <a:blip r:embed="rId23"/>
                    <a:stretch>
                      <a:fillRect/>
                    </a:stretch>
                  </pic:blipFill>
                  <pic:spPr>
                    <a:xfrm>
                      <a:off x="0" y="0"/>
                      <a:ext cx="6184900" cy="284988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363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61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2510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2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4" w:name="_Toc2545"/>
      <w:r>
        <w:rPr>
          <w:rFonts w:hint="eastAsia" w:ascii="黑体" w:hAnsi="黑体" w:eastAsia="黑体" w:cs="黑体"/>
          <w:sz w:val="30"/>
          <w:szCs w:val="30"/>
          <w:lang w:val="en-US" w:eastAsia="zh-CN"/>
        </w:rPr>
        <w:t>3.2.11 地图编辑器配色规范</w:t>
      </w:r>
      <w:bookmarkEnd w:id="12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72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更改绘制区域的背景样式面板，将原来的推荐配色+自定义配色面板，改为三组推荐配色组合+自定义配色面板。自定义配色面板默认收起，引导用户使用规范的推荐配色组合。</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522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绘制区域时，设置背景样式面板调整为三组推荐配色和一个自定义配色面板；每组推荐配色包括底图颜色×1、区域颜色×6、以及组合效果图，点击效果图可弹出查看大图；自定义配色面板默认收起，用户点击展开才展开色板。</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背景制作-绘制工具中增加文本编辑工具。当用户选用推荐配色时，将对文字标识的字号和颜色进行约束。如用户选择推荐配色一的底图时，用户添加文字标识，将会约束添加的文字标识的字号为XX号，色号为#XXXXXX。具体推荐配色对文字标识的约束以定稿UI为准。</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将内容制作-标识工具栏移至背景制作工具栏中。</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0515"/>
            <wp:effectExtent l="0" t="0" r="4445" b="6985"/>
            <wp:docPr id="23" name="图片 23" descr="E:\工作夹\AKE\2017\-产品\原型导出图片\MPGS\V2.4.0\11_地图编辑器配色规范（交互）.png11_地图编辑器配色规范（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工作夹\AKE\2017\-产品\原型导出图片\MPGS\V2.4.0\11_地图编辑器配色规范（交互）.png11_地图编辑器配色规范（交互）"/>
                    <pic:cNvPicPr>
                      <a:picLocks noChangeAspect="1"/>
                    </pic:cNvPicPr>
                  </pic:nvPicPr>
                  <pic:blipFill>
                    <a:blip r:embed="rId24"/>
                    <a:srcRect/>
                    <a:stretch>
                      <a:fillRect/>
                    </a:stretch>
                  </pic:blipFill>
                  <pic:spPr>
                    <a:xfrm>
                      <a:off x="0" y="0"/>
                      <a:ext cx="6180455" cy="2850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3584575" cy="2862580"/>
            <wp:effectExtent l="0" t="0" r="9525" b="7620"/>
            <wp:docPr id="27" name="图片 27" descr="E:\工作夹\AKE\2017\-产品\原型导出图片\MPGS\V2.4.0\11_2内页展示.png11_2内页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工作夹\AKE\2017\-产品\原型导出图片\MPGS\V2.4.0\11_2内页展示.png11_2内页展示"/>
                    <pic:cNvPicPr>
                      <a:picLocks noChangeAspect="1"/>
                    </pic:cNvPicPr>
                  </pic:nvPicPr>
                  <pic:blipFill>
                    <a:blip r:embed="rId25"/>
                    <a:srcRect/>
                    <a:stretch>
                      <a:fillRect/>
                    </a:stretch>
                  </pic:blipFill>
                  <pic:spPr>
                    <a:xfrm>
                      <a:off x="0" y="0"/>
                      <a:ext cx="3584575" cy="2862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object>
          <v:shape id="_x0000_i1026" o:spt="75" type="#_x0000_t75" style="height:65.5pt;width:72.5pt;" o:ole="t" filled="f" o:preferrelative="t" stroked="f" coordsize="21600,21600">
            <v:path/>
            <v:fill on="f" focussize="0,0"/>
            <v:stroke on="f"/>
            <v:imagedata r:id="rId27" o:title=""/>
            <o:lock v:ext="edit" aspectratio="t"/>
            <w10:wrap type="none"/>
            <w10:anchorlock/>
          </v:shape>
          <o:OLEObject Type="Embed" ProgID="Word.Document.12" ShapeID="_x0000_i1026" DrawAspect="Icon" ObjectID="_1468075726" r:id="rId26">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744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580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979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0" w:name="_Toc6826"/>
      <w:bookmarkStart w:id="131" w:name="_Toc5080"/>
      <w:r>
        <w:rPr>
          <w:rFonts w:hint="eastAsia" w:ascii="黑体" w:hAnsi="黑体" w:eastAsia="黑体" w:cs="黑体"/>
          <w:szCs w:val="22"/>
          <w:lang w:val="en-US" w:eastAsia="zh-CN"/>
        </w:rPr>
        <w:t>4.非功能性需求</w:t>
      </w:r>
      <w:bookmarkEnd w:id="130"/>
      <w:bookmarkEnd w:id="131"/>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32" w:name="_Toc7429177"/>
            <w:bookmarkEnd w:id="132"/>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33" w:name="_Toc31005"/>
      <w:bookmarkEnd w:id="133"/>
      <w:bookmarkStart w:id="134" w:name="_Toc16300"/>
      <w:bookmarkEnd w:id="134"/>
      <w:bookmarkStart w:id="135" w:name="_Toc20296"/>
      <w:bookmarkEnd w:id="135"/>
      <w:bookmarkStart w:id="136"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7" w:name="_Toc27079"/>
      <w:bookmarkStart w:id="138" w:name="_Toc10698"/>
      <w:r>
        <w:rPr>
          <w:rFonts w:hint="eastAsia" w:ascii="黑体" w:hAnsi="黑体" w:eastAsia="黑体" w:cs="黑体"/>
          <w:szCs w:val="22"/>
          <w:lang w:val="en-US" w:eastAsia="zh-CN"/>
        </w:rPr>
        <w:t>5.外部接口说明</w:t>
      </w:r>
      <w:bookmarkEnd w:id="136"/>
      <w:bookmarkEnd w:id="137"/>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9" w:name="_Toc2018"/>
      <w:bookmarkEnd w:id="139"/>
      <w:bookmarkStart w:id="140" w:name="_Toc4050"/>
      <w:bookmarkEnd w:id="140"/>
      <w:bookmarkStart w:id="141" w:name="_Toc9737"/>
      <w:bookmarkEnd w:id="141"/>
      <w:bookmarkStart w:id="142" w:name="_Toc28063"/>
      <w:bookmarkStart w:id="143" w:name="_Toc5382"/>
      <w:bookmarkStart w:id="144" w:name="_Toc1804"/>
      <w:r>
        <w:rPr>
          <w:rFonts w:hint="eastAsia" w:ascii="黑体" w:hAnsi="黑体" w:eastAsia="黑体" w:cs="黑体"/>
          <w:szCs w:val="22"/>
          <w:lang w:val="en-US" w:eastAsia="zh-CN"/>
        </w:rPr>
        <w:t>6.附件</w:t>
      </w:r>
      <w:bookmarkEnd w:id="142"/>
      <w:bookmarkEnd w:id="143"/>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5" w:name="_Toc7732"/>
      <w:bookmarkEnd w:id="145"/>
      <w:bookmarkStart w:id="146" w:name="_Toc8307"/>
      <w:bookmarkEnd w:id="146"/>
      <w:bookmarkStart w:id="147" w:name="_Toc12766"/>
      <w:bookmarkEnd w:id="147"/>
      <w:bookmarkStart w:id="148" w:name="_Toc12598"/>
      <w:bookmarkStart w:id="149" w:name="_Toc21233"/>
      <w:bookmarkStart w:id="150" w:name="_Toc19341"/>
      <w:r>
        <w:rPr>
          <w:rFonts w:hint="eastAsia" w:ascii="黑体" w:hAnsi="黑体" w:eastAsia="黑体" w:cs="黑体"/>
          <w:szCs w:val="22"/>
          <w:lang w:val="en-US" w:eastAsia="zh-CN"/>
        </w:rPr>
        <w:t>7.附录</w:t>
      </w:r>
      <w:bookmarkEnd w:id="148"/>
      <w:bookmarkEnd w:id="149"/>
      <w:bookmarkEnd w:id="15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20160"/>
      <w:bookmarkEnd w:id="151"/>
      <w:bookmarkStart w:id="152" w:name="_Toc25562"/>
      <w:bookmarkEnd w:id="152"/>
      <w:bookmarkStart w:id="153" w:name="_Toc10464"/>
      <w:bookmarkStart w:id="154" w:name="_Toc3022"/>
      <w:bookmarkStart w:id="155"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3"/>
      <w:bookmarkEnd w:id="154"/>
      <w:bookmarkEnd w:id="155"/>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32744"/>
      <w:bookmarkEnd w:id="156"/>
      <w:bookmarkStart w:id="157" w:name="_Toc1779"/>
      <w:bookmarkEnd w:id="157"/>
      <w:bookmarkStart w:id="158" w:name="_Toc14509"/>
      <w:bookmarkStart w:id="159" w:name="_Toc9981"/>
      <w:bookmarkStart w:id="160" w:name="_Toc5054"/>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58"/>
      <w:bookmarkEnd w:id="159"/>
      <w:bookmarkEnd w:id="1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67E4D0"/>
    <w:multiLevelType w:val="singleLevel"/>
    <w:tmpl w:val="5A67E4D0"/>
    <w:lvl w:ilvl="0" w:tentative="0">
      <w:start w:val="1"/>
      <w:numFmt w:val="decimal"/>
      <w:suff w:val="nothing"/>
      <w:lvlText w:val="（%1）"/>
      <w:lvlJc w:val="left"/>
    </w:lvl>
  </w:abstractNum>
  <w:abstractNum w:abstractNumId="10">
    <w:nsid w:val="5A6805C2"/>
    <w:multiLevelType w:val="singleLevel"/>
    <w:tmpl w:val="5A6805C2"/>
    <w:lvl w:ilvl="0" w:tentative="0">
      <w:start w:val="1"/>
      <w:numFmt w:val="decimal"/>
      <w:suff w:val="nothing"/>
      <w:lvlText w:val="（%1）"/>
      <w:lvlJc w:val="left"/>
    </w:lvl>
  </w:abstractNum>
  <w:abstractNum w:abstractNumId="11">
    <w:nsid w:val="5A693704"/>
    <w:multiLevelType w:val="singleLevel"/>
    <w:tmpl w:val="5A693704"/>
    <w:lvl w:ilvl="0" w:tentative="0">
      <w:start w:val="1"/>
      <w:numFmt w:val="decimal"/>
      <w:suff w:val="nothing"/>
      <w:lvlText w:val="（%1）"/>
      <w:lvlJc w:val="left"/>
    </w:lvl>
  </w:abstractNum>
  <w:abstractNum w:abstractNumId="12">
    <w:nsid w:val="5A693A6C"/>
    <w:multiLevelType w:val="singleLevel"/>
    <w:tmpl w:val="5A693A6C"/>
    <w:lvl w:ilvl="0" w:tentative="0">
      <w:start w:val="1"/>
      <w:numFmt w:val="decimal"/>
      <w:suff w:val="nothing"/>
      <w:lvlText w:val="（%1）"/>
      <w:lvlJc w:val="left"/>
    </w:lvl>
  </w:abstractNum>
  <w:abstractNum w:abstractNumId="13">
    <w:nsid w:val="5A6ADC69"/>
    <w:multiLevelType w:val="singleLevel"/>
    <w:tmpl w:val="5A6ADC69"/>
    <w:lvl w:ilvl="0" w:tentative="0">
      <w:start w:val="1"/>
      <w:numFmt w:val="bullet"/>
      <w:lvlText w:val=""/>
      <w:lvlJc w:val="left"/>
      <w:pPr>
        <w:ind w:left="420" w:hanging="420"/>
      </w:pPr>
      <w:rPr>
        <w:rFonts w:hint="default" w:ascii="Wingdings" w:hAnsi="Wingdings"/>
      </w:rPr>
    </w:lvl>
  </w:abstractNum>
  <w:abstractNum w:abstractNumId="14">
    <w:nsid w:val="5A6EEB1C"/>
    <w:multiLevelType w:val="singleLevel"/>
    <w:tmpl w:val="5A6EEB1C"/>
    <w:lvl w:ilvl="0" w:tentative="0">
      <w:start w:val="1"/>
      <w:numFmt w:val="decimal"/>
      <w:suff w:val="nothing"/>
      <w:lvlText w:val="（%1）"/>
      <w:lvlJc w:val="left"/>
    </w:lvl>
  </w:abstractNum>
  <w:abstractNum w:abstractNumId="15">
    <w:nsid w:val="65CB3C71"/>
    <w:multiLevelType w:val="singleLevel"/>
    <w:tmpl w:val="65CB3C71"/>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14"/>
  </w:num>
  <w:num w:numId="11">
    <w:abstractNumId w:val="9"/>
  </w:num>
  <w:num w:numId="12">
    <w:abstractNumId w:val="10"/>
  </w:num>
  <w:num w:numId="13">
    <w:abstractNumId w:val="13"/>
  </w:num>
  <w:num w:numId="14">
    <w:abstractNumId w:val="1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D06F49"/>
    <w:rsid w:val="01412C42"/>
    <w:rsid w:val="02E60A75"/>
    <w:rsid w:val="03342ECF"/>
    <w:rsid w:val="03B94830"/>
    <w:rsid w:val="03FA7154"/>
    <w:rsid w:val="04564343"/>
    <w:rsid w:val="045C4E8D"/>
    <w:rsid w:val="058B2EC2"/>
    <w:rsid w:val="06353BDA"/>
    <w:rsid w:val="063B28BA"/>
    <w:rsid w:val="06EB17E4"/>
    <w:rsid w:val="08370E0F"/>
    <w:rsid w:val="08F52F8E"/>
    <w:rsid w:val="09792575"/>
    <w:rsid w:val="0AFA77BE"/>
    <w:rsid w:val="0B2C6C86"/>
    <w:rsid w:val="0CF0632E"/>
    <w:rsid w:val="0D3422E6"/>
    <w:rsid w:val="0E3A30BB"/>
    <w:rsid w:val="0E921E79"/>
    <w:rsid w:val="0EEF3643"/>
    <w:rsid w:val="0F9E138C"/>
    <w:rsid w:val="10213790"/>
    <w:rsid w:val="1036007F"/>
    <w:rsid w:val="10F463B6"/>
    <w:rsid w:val="115A4258"/>
    <w:rsid w:val="117F398C"/>
    <w:rsid w:val="11F57199"/>
    <w:rsid w:val="12096A7F"/>
    <w:rsid w:val="129217E1"/>
    <w:rsid w:val="15450503"/>
    <w:rsid w:val="15AD16E8"/>
    <w:rsid w:val="165F050B"/>
    <w:rsid w:val="17666C7B"/>
    <w:rsid w:val="18076A37"/>
    <w:rsid w:val="186A7018"/>
    <w:rsid w:val="192A4996"/>
    <w:rsid w:val="19953E17"/>
    <w:rsid w:val="19BC3791"/>
    <w:rsid w:val="19FE60EF"/>
    <w:rsid w:val="1A554449"/>
    <w:rsid w:val="1AEC4086"/>
    <w:rsid w:val="1B1558D2"/>
    <w:rsid w:val="1B3D379D"/>
    <w:rsid w:val="1B3E5F9A"/>
    <w:rsid w:val="1BBF563F"/>
    <w:rsid w:val="1C056559"/>
    <w:rsid w:val="1C8210CF"/>
    <w:rsid w:val="1CD06F49"/>
    <w:rsid w:val="1E4826E8"/>
    <w:rsid w:val="1E4F05A1"/>
    <w:rsid w:val="1E920C0D"/>
    <w:rsid w:val="1FA64F92"/>
    <w:rsid w:val="20395A17"/>
    <w:rsid w:val="206C73EA"/>
    <w:rsid w:val="217B4983"/>
    <w:rsid w:val="221F7D1B"/>
    <w:rsid w:val="236627B0"/>
    <w:rsid w:val="23B72971"/>
    <w:rsid w:val="23EF479E"/>
    <w:rsid w:val="24686A5E"/>
    <w:rsid w:val="249771E8"/>
    <w:rsid w:val="24AA0A80"/>
    <w:rsid w:val="250F2555"/>
    <w:rsid w:val="254B133D"/>
    <w:rsid w:val="254B6885"/>
    <w:rsid w:val="2877661A"/>
    <w:rsid w:val="294D41B1"/>
    <w:rsid w:val="299A65EF"/>
    <w:rsid w:val="2AF56607"/>
    <w:rsid w:val="2B7D2034"/>
    <w:rsid w:val="2C89431A"/>
    <w:rsid w:val="2CD7410D"/>
    <w:rsid w:val="2D636D36"/>
    <w:rsid w:val="303660C4"/>
    <w:rsid w:val="30580989"/>
    <w:rsid w:val="30AC429A"/>
    <w:rsid w:val="30D73424"/>
    <w:rsid w:val="31D9363A"/>
    <w:rsid w:val="31E11053"/>
    <w:rsid w:val="33A979B4"/>
    <w:rsid w:val="34164B8B"/>
    <w:rsid w:val="354B02D5"/>
    <w:rsid w:val="35534482"/>
    <w:rsid w:val="35775E20"/>
    <w:rsid w:val="35C711DB"/>
    <w:rsid w:val="35CD4B16"/>
    <w:rsid w:val="35EB0108"/>
    <w:rsid w:val="36780322"/>
    <w:rsid w:val="37986597"/>
    <w:rsid w:val="37A04983"/>
    <w:rsid w:val="3AA7565D"/>
    <w:rsid w:val="3C923D54"/>
    <w:rsid w:val="3D0278DC"/>
    <w:rsid w:val="3D2979D9"/>
    <w:rsid w:val="3E3C52FA"/>
    <w:rsid w:val="3E3C6F0C"/>
    <w:rsid w:val="3E6D6AE5"/>
    <w:rsid w:val="3E970770"/>
    <w:rsid w:val="3EF24D9D"/>
    <w:rsid w:val="3F8F2390"/>
    <w:rsid w:val="40213607"/>
    <w:rsid w:val="40473168"/>
    <w:rsid w:val="40D75162"/>
    <w:rsid w:val="41406609"/>
    <w:rsid w:val="41A46E15"/>
    <w:rsid w:val="41EE28DF"/>
    <w:rsid w:val="42CF7093"/>
    <w:rsid w:val="434830A2"/>
    <w:rsid w:val="43CE4EE3"/>
    <w:rsid w:val="43E65D04"/>
    <w:rsid w:val="4401240D"/>
    <w:rsid w:val="453C3D7A"/>
    <w:rsid w:val="459742DE"/>
    <w:rsid w:val="45A34800"/>
    <w:rsid w:val="45E62D98"/>
    <w:rsid w:val="46FB02FD"/>
    <w:rsid w:val="47E9662D"/>
    <w:rsid w:val="481F2798"/>
    <w:rsid w:val="48BC3456"/>
    <w:rsid w:val="499B7840"/>
    <w:rsid w:val="4AD20219"/>
    <w:rsid w:val="4AE61356"/>
    <w:rsid w:val="4B4936AC"/>
    <w:rsid w:val="4B56695C"/>
    <w:rsid w:val="4B891169"/>
    <w:rsid w:val="4C6C4F55"/>
    <w:rsid w:val="4C6D241F"/>
    <w:rsid w:val="4D513936"/>
    <w:rsid w:val="4E4913B8"/>
    <w:rsid w:val="50345D09"/>
    <w:rsid w:val="506C4914"/>
    <w:rsid w:val="51E951F7"/>
    <w:rsid w:val="523311DA"/>
    <w:rsid w:val="52813883"/>
    <w:rsid w:val="52833821"/>
    <w:rsid w:val="52BA34CF"/>
    <w:rsid w:val="52F63164"/>
    <w:rsid w:val="53F66372"/>
    <w:rsid w:val="543E2368"/>
    <w:rsid w:val="54E8350E"/>
    <w:rsid w:val="55BB457A"/>
    <w:rsid w:val="55DA0BF9"/>
    <w:rsid w:val="562C3D70"/>
    <w:rsid w:val="569964DD"/>
    <w:rsid w:val="588C512A"/>
    <w:rsid w:val="58B13353"/>
    <w:rsid w:val="599F0F67"/>
    <w:rsid w:val="59B6754C"/>
    <w:rsid w:val="5A531600"/>
    <w:rsid w:val="5A534118"/>
    <w:rsid w:val="5A921760"/>
    <w:rsid w:val="5B4D51F1"/>
    <w:rsid w:val="5C130308"/>
    <w:rsid w:val="5C5A6CFF"/>
    <w:rsid w:val="5C672B92"/>
    <w:rsid w:val="5C8E72D4"/>
    <w:rsid w:val="5CA143F3"/>
    <w:rsid w:val="5CA70118"/>
    <w:rsid w:val="5D727281"/>
    <w:rsid w:val="5DD072C7"/>
    <w:rsid w:val="5E962873"/>
    <w:rsid w:val="5F211A87"/>
    <w:rsid w:val="5F2D4918"/>
    <w:rsid w:val="5F3F54E5"/>
    <w:rsid w:val="5F8E1610"/>
    <w:rsid w:val="600B6049"/>
    <w:rsid w:val="636D26B1"/>
    <w:rsid w:val="637F0B31"/>
    <w:rsid w:val="63C0531D"/>
    <w:rsid w:val="64C95BD4"/>
    <w:rsid w:val="664D7022"/>
    <w:rsid w:val="66A95E9B"/>
    <w:rsid w:val="66ED57F0"/>
    <w:rsid w:val="686A5BEB"/>
    <w:rsid w:val="68C62836"/>
    <w:rsid w:val="6D567943"/>
    <w:rsid w:val="6E443EBF"/>
    <w:rsid w:val="70157909"/>
    <w:rsid w:val="712935AC"/>
    <w:rsid w:val="7159117F"/>
    <w:rsid w:val="71CF2844"/>
    <w:rsid w:val="71E946B0"/>
    <w:rsid w:val="722D6AD3"/>
    <w:rsid w:val="72DF3BF9"/>
    <w:rsid w:val="740132B6"/>
    <w:rsid w:val="747D1DCF"/>
    <w:rsid w:val="7503387C"/>
    <w:rsid w:val="755505F5"/>
    <w:rsid w:val="756C2DB9"/>
    <w:rsid w:val="76075456"/>
    <w:rsid w:val="767455FE"/>
    <w:rsid w:val="775A1138"/>
    <w:rsid w:val="776E47B6"/>
    <w:rsid w:val="77A154F6"/>
    <w:rsid w:val="77B321FD"/>
    <w:rsid w:val="78556A48"/>
    <w:rsid w:val="78AE2B3D"/>
    <w:rsid w:val="7985752B"/>
    <w:rsid w:val="7A885C90"/>
    <w:rsid w:val="7A940059"/>
    <w:rsid w:val="7B55150B"/>
    <w:rsid w:val="7D05104A"/>
    <w:rsid w:val="7D12270D"/>
    <w:rsid w:val="7EBD3894"/>
    <w:rsid w:val="7EC5349F"/>
    <w:rsid w:val="7EDF655B"/>
    <w:rsid w:val="7F371C4A"/>
    <w:rsid w:val="7F98021E"/>
    <w:rsid w:val="7FD96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2018-01-20T01:18:00Z</dcterms:created>
  <dc:creator>北北</dc:creator>
  <cp:lastModifiedBy>北北</cp:lastModifiedBy>
  <dcterms:modified xsi:type="dcterms:W3CDTF">2018-03-12T03:20:57Z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