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bookmarkStart w:id="0" w:name="_Toc25469"/>
    </w:p>
    <w:p>
      <w:pPr>
        <w:rPr>
          <w:rFonts w:hint="eastAsia"/>
          <w:lang w:val="en-US" w:eastAsia="zh-CN"/>
        </w:rPr>
      </w:pPr>
    </w:p>
    <w:p>
      <w:pPr>
        <w:pStyle w:val="2"/>
        <w:jc w:val="center"/>
        <w:rPr>
          <w:rFonts w:hint="eastAsia" w:ascii="黑体" w:hAnsi="黑体" w:eastAsia="黑体" w:cs="黑体"/>
          <w:sz w:val="44"/>
          <w:szCs w:val="44"/>
          <w:lang w:val="en-US" w:eastAsia="zh-CN"/>
        </w:rPr>
      </w:pPr>
      <w:bookmarkStart w:id="1" w:name="_Toc24294"/>
      <w:bookmarkStart w:id="2" w:name="_Toc2524"/>
      <w:r>
        <w:rPr>
          <w:rFonts w:hint="eastAsia" w:ascii="黑体" w:hAnsi="黑体" w:eastAsia="黑体" w:cs="黑体"/>
          <w:sz w:val="44"/>
          <w:szCs w:val="44"/>
          <w:lang w:val="en-US" w:eastAsia="zh-CN"/>
        </w:rPr>
        <w:t>MPGS V2.4.0</w:t>
      </w:r>
      <w:bookmarkEnd w:id="0"/>
      <w:bookmarkEnd w:id="1"/>
      <w:bookmarkEnd w:id="2"/>
    </w:p>
    <w:p>
      <w:pPr>
        <w:jc w:val="center"/>
        <w:rPr>
          <w:rFonts w:hint="eastAsia"/>
          <w:bCs/>
          <w:u w:val="single"/>
        </w:rPr>
      </w:pPr>
      <w:r>
        <mc:AlternateContent>
          <mc:Choice Requires="wps">
            <w:drawing>
              <wp:anchor distT="0" distB="0" distL="114300" distR="114300" simplePos="0" relativeHeight="1024" behindDoc="0" locked="0" layoutInCell="1" allowOverlap="1">
                <wp:simplePos x="0" y="0"/>
                <wp:positionH relativeFrom="column">
                  <wp:posOffset>464820</wp:posOffset>
                </wp:positionH>
                <wp:positionV relativeFrom="paragraph">
                  <wp:posOffset>156210</wp:posOffset>
                </wp:positionV>
                <wp:extent cx="5334000" cy="2447290"/>
                <wp:effectExtent l="4445" t="4445" r="8255" b="12065"/>
                <wp:wrapNone/>
                <wp:docPr id="1" name="文本框 1"/>
                <wp:cNvGraphicFramePr/>
                <a:graphic xmlns:a="http://schemas.openxmlformats.org/drawingml/2006/main">
                  <a:graphicData uri="http://schemas.microsoft.com/office/word/2010/wordprocessingShape">
                    <wps:wsp>
                      <wps:cNvSpPr txBox="1"/>
                      <wps:spPr>
                        <a:xfrm>
                          <a:off x="0" y="0"/>
                          <a:ext cx="5334000" cy="2447290"/>
                        </a:xfrm>
                        <a:prstGeom prst="rect">
                          <a:avLst/>
                        </a:prstGeom>
                        <a:solidFill>
                          <a:srgbClr val="FFFFFF"/>
                        </a:solidFill>
                        <a:ln w="635">
                          <a:solidFill>
                            <a:srgbClr val="000000"/>
                          </a:solidFill>
                        </a:ln>
                      </wps:spPr>
                      <wps:txbx>
                        <w:txbxContent>
                          <w:p>
                            <w:pPr>
                              <w:pStyle w:val="15"/>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 xml:space="preserve">MPGS </w:t>
                            </w:r>
                            <w:r>
                              <w:rPr>
                                <w:rFonts w:hint="eastAsia" w:ascii="黑体" w:hAnsi="黑体" w:eastAsia="黑体" w:cs="黑体"/>
                                <w:color w:val="000000"/>
                                <w:u w:val="single"/>
                              </w:rPr>
                              <w:t>V2.</w:t>
                            </w:r>
                            <w:r>
                              <w:rPr>
                                <w:rFonts w:hint="eastAsia" w:ascii="黑体" w:hAnsi="黑体" w:eastAsia="黑体" w:cs="黑体"/>
                                <w:color w:val="000000"/>
                                <w:u w:val="single"/>
                                <w:lang w:val="en-US" w:eastAsia="zh-CN"/>
                              </w:rPr>
                              <w:t>4</w:t>
                            </w:r>
                            <w:r>
                              <w:rPr>
                                <w:rFonts w:hint="eastAsia" w:ascii="黑体" w:hAnsi="黑体" w:eastAsia="黑体" w:cs="黑体"/>
                                <w:color w:val="000000"/>
                                <w:u w:val="single"/>
                              </w:rPr>
                              <w:t xml:space="preserve">.0_需求规格说明书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V2</w:t>
                            </w:r>
                            <w:r>
                              <w:rPr>
                                <w:rFonts w:hint="eastAsia" w:ascii="黑体" w:hAnsi="黑体" w:eastAsia="黑体" w:cs="黑体"/>
                                <w:bCs/>
                                <w:u w:val="single"/>
                              </w:rPr>
                              <w:t>.</w:t>
                            </w:r>
                            <w:r>
                              <w:rPr>
                                <w:rFonts w:hint="eastAsia" w:ascii="黑体" w:hAnsi="黑体" w:eastAsia="黑体" w:cs="黑体"/>
                                <w:bCs/>
                                <w:u w:val="single"/>
                                <w:lang w:val="en-US" w:eastAsia="zh-CN"/>
                              </w:rPr>
                              <w:t>4.0</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5"/>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wps:txbx>
                      <wps:bodyPr lIns="91440" tIns="45720" rIns="91440" bIns="45720" anchor="t">
                        <a:noAutofit/>
                      </wps:bodyPr>
                    </wps:wsp>
                  </a:graphicData>
                </a:graphic>
              </wp:anchor>
            </w:drawing>
          </mc:Choice>
          <mc:Fallback>
            <w:pict>
              <v:shape id="_x0000_s1026" o:spid="_x0000_s1026" o:spt="202" type="#_x0000_t202" style="position:absolute;left:0pt;margin-left:36.6pt;margin-top:12.3pt;height:192.7pt;width:420pt;z-index:1024;mso-width-relative:page;mso-height-relative:page;" fillcolor="#FFFFFF" filled="t" stroked="t" coordsize="21600,21600" o:gfxdata="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Osv1y1wAAAAkBAAAPAAAAAAAAAAEA&#10;IAAAACIAAABkcnMvZG93bnJldi54bWxQSwECFAAUAAAACACHTuJATfRYV9cBAACoAwAADgAAAAAA&#10;AAABACAAAAAmAQAAZHJzL2Uyb0RvYy54bWxQSwUGAAAAAAYABgBZAQAAbwUAAAAA&#10;">
                <v:fill on="t" focussize="0,0"/>
                <v:stroke weight="0.05pt" color="#000000" joinstyle="round"/>
                <v:imagedata o:title=""/>
                <o:lock v:ext="edit" aspectratio="f"/>
                <v:textbox>
                  <w:txbxContent>
                    <w:p>
                      <w:pPr>
                        <w:pStyle w:val="15"/>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 xml:space="preserve">MPGS </w:t>
                      </w:r>
                      <w:r>
                        <w:rPr>
                          <w:rFonts w:hint="eastAsia" w:ascii="黑体" w:hAnsi="黑体" w:eastAsia="黑体" w:cs="黑体"/>
                          <w:color w:val="000000"/>
                          <w:u w:val="single"/>
                        </w:rPr>
                        <w:t>V2.</w:t>
                      </w:r>
                      <w:r>
                        <w:rPr>
                          <w:rFonts w:hint="eastAsia" w:ascii="黑体" w:hAnsi="黑体" w:eastAsia="黑体" w:cs="黑体"/>
                          <w:color w:val="000000"/>
                          <w:u w:val="single"/>
                          <w:lang w:val="en-US" w:eastAsia="zh-CN"/>
                        </w:rPr>
                        <w:t>4</w:t>
                      </w:r>
                      <w:r>
                        <w:rPr>
                          <w:rFonts w:hint="eastAsia" w:ascii="黑体" w:hAnsi="黑体" w:eastAsia="黑体" w:cs="黑体"/>
                          <w:color w:val="000000"/>
                          <w:u w:val="single"/>
                        </w:rPr>
                        <w:t xml:space="preserve">.0_需求规格说明书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V2</w:t>
                      </w:r>
                      <w:r>
                        <w:rPr>
                          <w:rFonts w:hint="eastAsia" w:ascii="黑体" w:hAnsi="黑体" w:eastAsia="黑体" w:cs="黑体"/>
                          <w:bCs/>
                          <w:u w:val="single"/>
                        </w:rPr>
                        <w:t>.</w:t>
                      </w:r>
                      <w:r>
                        <w:rPr>
                          <w:rFonts w:hint="eastAsia" w:ascii="黑体" w:hAnsi="黑体" w:eastAsia="黑体" w:cs="黑体"/>
                          <w:bCs/>
                          <w:u w:val="single"/>
                          <w:lang w:val="en-US" w:eastAsia="zh-CN"/>
                        </w:rPr>
                        <w:t>4.0</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5"/>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v:textbox>
              </v:shape>
            </w:pict>
          </mc:Fallback>
        </mc:AlternateContent>
      </w: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pStyle w:val="2"/>
        <w:jc w:val="center"/>
        <w:rPr>
          <w:rFonts w:hint="eastAsia" w:ascii="黑体" w:hAnsi="黑体" w:eastAsia="黑体" w:cs="黑体"/>
          <w:sz w:val="36"/>
          <w:szCs w:val="36"/>
          <w:lang w:val="en-US" w:eastAsia="zh-CN"/>
        </w:rPr>
      </w:pPr>
      <w:bookmarkStart w:id="3" w:name="_Toc29727"/>
      <w:bookmarkStart w:id="4" w:name="_Toc25465"/>
      <w:bookmarkStart w:id="5" w:name="_Toc15308"/>
      <w:bookmarkStart w:id="6" w:name="_Toc21290"/>
      <w:r>
        <w:rPr>
          <w:rFonts w:hint="eastAsia" w:ascii="黑体" w:hAnsi="黑体" w:eastAsia="黑体" w:cs="黑体"/>
          <w:sz w:val="36"/>
          <w:szCs w:val="36"/>
          <w:lang w:val="en-US" w:eastAsia="zh-CN"/>
        </w:rPr>
        <w:t>修订记录</w:t>
      </w:r>
      <w:bookmarkEnd w:id="3"/>
      <w:bookmarkEnd w:id="4"/>
      <w:bookmarkEnd w:id="5"/>
      <w:bookmarkEnd w:id="6"/>
    </w:p>
    <w:tbl>
      <w:tblPr>
        <w:tblStyle w:val="13"/>
        <w:tblW w:w="98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1731"/>
        <w:gridCol w:w="1440"/>
        <w:gridCol w:w="1340"/>
        <w:gridCol w:w="3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8" w:hRule="atLeast"/>
          <w:jc w:val="center"/>
        </w:trPr>
        <w:tc>
          <w:tcPr>
            <w:tcW w:w="1579"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版本号</w:t>
            </w:r>
          </w:p>
        </w:tc>
        <w:tc>
          <w:tcPr>
            <w:tcW w:w="1731"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修订日期</w:t>
            </w:r>
          </w:p>
        </w:tc>
        <w:tc>
          <w:tcPr>
            <w:tcW w:w="14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修订人</w:t>
            </w:r>
          </w:p>
        </w:tc>
        <w:tc>
          <w:tcPr>
            <w:tcW w:w="13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修订状态</w:t>
            </w:r>
          </w:p>
        </w:tc>
        <w:tc>
          <w:tcPr>
            <w:tcW w:w="377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V1.0.0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2018-01-19</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新建MPGS V2.4.0需求文档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V1.1.0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2018-02-18</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修改地图配置对应关系展现方式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V1.2.0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2018-03-12</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修改3.2.3参数设置</w:t>
            </w:r>
          </w:p>
        </w:tc>
      </w:tr>
    </w:tbl>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修订状态：A--增加，M--修改，D--删除</w:t>
      </w: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日期格式：YYYY-MM-DD</w:t>
      </w:r>
    </w:p>
    <w:p>
      <w:pPr>
        <w:sectPr>
          <w:pgSz w:w="11906" w:h="16838"/>
          <w:pgMar w:top="1440" w:right="1080" w:bottom="1440" w:left="1080" w:header="851" w:footer="992" w:gutter="0"/>
          <w:cols w:space="425" w:num="1"/>
          <w:docGrid w:type="lines" w:linePitch="312" w:charSpace="0"/>
        </w:sectPr>
      </w:pPr>
    </w:p>
    <w:p>
      <w:pPr>
        <w:pStyle w:val="2"/>
        <w:rPr>
          <w:rFonts w:hint="eastAsia" w:ascii="黑体" w:hAnsi="黑体" w:eastAsia="黑体" w:cs="黑体"/>
          <w:sz w:val="36"/>
          <w:szCs w:val="36"/>
          <w:lang w:val="en-US" w:eastAsia="zh-CN"/>
        </w:rPr>
      </w:pPr>
      <w:bookmarkStart w:id="7" w:name="_Toc29388"/>
      <w:bookmarkStart w:id="8" w:name="_Toc17847"/>
      <w:bookmarkStart w:id="9" w:name="_Toc21089"/>
      <w:r>
        <w:rPr>
          <w:rFonts w:hint="eastAsia" w:ascii="黑体" w:hAnsi="黑体" w:eastAsia="黑体" w:cs="黑体"/>
          <w:sz w:val="36"/>
          <w:szCs w:val="36"/>
          <w:lang w:val="en-US" w:eastAsia="zh-CN"/>
        </w:rPr>
        <w:t>目录</w:t>
      </w:r>
      <w:bookmarkEnd w:id="7"/>
      <w:bookmarkEnd w:id="8"/>
      <w:bookmarkEnd w:id="9"/>
    </w:p>
    <w:p>
      <w:pPr>
        <w:pStyle w:val="8"/>
        <w:tabs>
          <w:tab w:val="right" w:leader="dot" w:pos="9746"/>
        </w:tabs>
      </w:pPr>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_Toc2524 </w:instrText>
      </w:r>
      <w:r>
        <w:rPr>
          <w:rFonts w:hint="eastAsia"/>
          <w:lang w:val="en-US" w:eastAsia="zh-CN"/>
        </w:rPr>
        <w:fldChar w:fldCharType="separate"/>
      </w:r>
      <w:r>
        <w:rPr>
          <w:rFonts w:hint="eastAsia" w:ascii="黑体" w:hAnsi="黑体" w:eastAsia="黑体" w:cs="黑体"/>
          <w:szCs w:val="44"/>
          <w:lang w:val="en-US" w:eastAsia="zh-CN"/>
        </w:rPr>
        <w:t>MPGS V2.4.0</w:t>
      </w:r>
      <w:r>
        <w:tab/>
      </w:r>
      <w:r>
        <w:fldChar w:fldCharType="begin"/>
      </w:r>
      <w:r>
        <w:instrText xml:space="preserve"> PAGEREF _Toc2524 </w:instrText>
      </w:r>
      <w:r>
        <w:fldChar w:fldCharType="separate"/>
      </w:r>
      <w:r>
        <w:t>1</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_Toc25465 </w:instrText>
      </w:r>
      <w:r>
        <w:rPr>
          <w:rFonts w:hint="eastAsia"/>
          <w:lang w:val="en-US" w:eastAsia="zh-CN"/>
        </w:rPr>
        <w:fldChar w:fldCharType="separate"/>
      </w:r>
      <w:r>
        <w:rPr>
          <w:rFonts w:hint="eastAsia" w:ascii="黑体" w:hAnsi="黑体" w:eastAsia="黑体" w:cs="黑体"/>
          <w:szCs w:val="36"/>
          <w:lang w:val="en-US" w:eastAsia="zh-CN"/>
        </w:rPr>
        <w:t>修订记录</w:t>
      </w:r>
      <w:r>
        <w:tab/>
      </w:r>
      <w:r>
        <w:fldChar w:fldCharType="begin"/>
      </w:r>
      <w:r>
        <w:instrText xml:space="preserve"> PAGEREF _Toc25465 </w:instrText>
      </w:r>
      <w:r>
        <w:fldChar w:fldCharType="separate"/>
      </w:r>
      <w:r>
        <w:t>2</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_Toc17847 </w:instrText>
      </w:r>
      <w:r>
        <w:rPr>
          <w:rFonts w:hint="eastAsia"/>
          <w:lang w:val="en-US" w:eastAsia="zh-CN"/>
        </w:rPr>
        <w:fldChar w:fldCharType="separate"/>
      </w:r>
      <w:r>
        <w:rPr>
          <w:rFonts w:hint="eastAsia" w:ascii="黑体" w:hAnsi="黑体" w:eastAsia="黑体" w:cs="黑体"/>
          <w:szCs w:val="36"/>
          <w:lang w:val="en-US" w:eastAsia="zh-CN"/>
        </w:rPr>
        <w:t>目录</w:t>
      </w:r>
      <w:r>
        <w:tab/>
      </w:r>
      <w:r>
        <w:fldChar w:fldCharType="begin"/>
      </w:r>
      <w:r>
        <w:instrText xml:space="preserve"> PAGEREF _Toc17847 </w:instrText>
      </w:r>
      <w:r>
        <w:fldChar w:fldCharType="separate"/>
      </w:r>
      <w:r>
        <w:t>3</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_Toc27375 </w:instrText>
      </w:r>
      <w:r>
        <w:rPr>
          <w:rFonts w:hint="eastAsia"/>
          <w:lang w:val="en-US" w:eastAsia="zh-CN"/>
        </w:rPr>
        <w:fldChar w:fldCharType="separate"/>
      </w:r>
      <w:r>
        <w:rPr>
          <w:rFonts w:hint="eastAsia" w:ascii="黑体" w:hAnsi="黑体" w:eastAsia="黑体" w:cs="黑体"/>
          <w:bCs/>
          <w:szCs w:val="36"/>
          <w:lang w:val="en-US" w:eastAsia="zh-CN"/>
        </w:rPr>
        <w:t>全局说明</w:t>
      </w:r>
      <w:r>
        <w:tab/>
      </w:r>
      <w:r>
        <w:fldChar w:fldCharType="begin"/>
      </w:r>
      <w:r>
        <w:instrText xml:space="preserve"> PAGEREF _Toc27375 </w:instrText>
      </w:r>
      <w:r>
        <w:fldChar w:fldCharType="separate"/>
      </w:r>
      <w:r>
        <w:t>5</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_Toc3041 </w:instrText>
      </w:r>
      <w:r>
        <w:rPr>
          <w:rFonts w:hint="eastAsia"/>
          <w:lang w:val="en-US" w:eastAsia="zh-CN"/>
        </w:rPr>
        <w:fldChar w:fldCharType="separate"/>
      </w:r>
      <w:r>
        <w:rPr>
          <w:rFonts w:hint="eastAsia" w:ascii="黑体" w:hAnsi="黑体" w:eastAsia="黑体" w:cs="黑体"/>
          <w:lang w:val="en-US" w:eastAsia="zh-CN"/>
        </w:rPr>
        <w:t>1.目的</w:t>
      </w:r>
      <w:r>
        <w:tab/>
      </w:r>
      <w:r>
        <w:fldChar w:fldCharType="begin"/>
      </w:r>
      <w:r>
        <w:instrText xml:space="preserve"> PAGEREF _Toc3041 </w:instrText>
      </w:r>
      <w:r>
        <w:fldChar w:fldCharType="separate"/>
      </w:r>
      <w:r>
        <w:t>7</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_Toc23024 </w:instrText>
      </w:r>
      <w:r>
        <w:rPr>
          <w:rFonts w:hint="eastAsia"/>
          <w:lang w:val="en-US" w:eastAsia="zh-CN"/>
        </w:rPr>
        <w:fldChar w:fldCharType="separate"/>
      </w:r>
      <w:r>
        <w:rPr>
          <w:rFonts w:hint="eastAsia" w:ascii="黑体" w:hAnsi="黑体" w:eastAsia="黑体" w:cs="黑体"/>
          <w:lang w:val="en-US" w:eastAsia="zh-CN"/>
        </w:rPr>
        <w:t>1.1背景</w:t>
      </w:r>
      <w:r>
        <w:tab/>
      </w:r>
      <w:r>
        <w:fldChar w:fldCharType="begin"/>
      </w:r>
      <w:r>
        <w:instrText xml:space="preserve"> PAGEREF _Toc23024 </w:instrText>
      </w:r>
      <w:r>
        <w:fldChar w:fldCharType="separate"/>
      </w:r>
      <w:r>
        <w:t>7</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_Toc29955 </w:instrText>
      </w:r>
      <w:r>
        <w:rPr>
          <w:rFonts w:hint="eastAsia"/>
          <w:lang w:val="en-US" w:eastAsia="zh-CN"/>
        </w:rPr>
        <w:fldChar w:fldCharType="separate"/>
      </w:r>
      <w:r>
        <w:rPr>
          <w:rFonts w:hint="eastAsia" w:ascii="黑体" w:hAnsi="黑体" w:eastAsia="黑体" w:cs="黑体"/>
          <w:szCs w:val="22"/>
          <w:lang w:val="en-US" w:eastAsia="zh-CN"/>
        </w:rPr>
        <w:t>1.2目的</w:t>
      </w:r>
      <w:r>
        <w:tab/>
      </w:r>
      <w:r>
        <w:fldChar w:fldCharType="begin"/>
      </w:r>
      <w:r>
        <w:instrText xml:space="preserve"> PAGEREF _Toc29955 </w:instrText>
      </w:r>
      <w:r>
        <w:fldChar w:fldCharType="separate"/>
      </w:r>
      <w:r>
        <w:t>7</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_Toc3127 </w:instrText>
      </w:r>
      <w:r>
        <w:rPr>
          <w:rFonts w:hint="eastAsia"/>
          <w:lang w:val="en-US" w:eastAsia="zh-CN"/>
        </w:rPr>
        <w:fldChar w:fldCharType="separate"/>
      </w:r>
      <w:r>
        <w:rPr>
          <w:rFonts w:hint="eastAsia" w:ascii="黑体" w:hAnsi="黑体" w:eastAsia="黑体" w:cs="黑体"/>
          <w:szCs w:val="22"/>
          <w:lang w:val="en-US" w:eastAsia="zh-CN"/>
        </w:rPr>
        <w:t>1.3需求描述与约定</w:t>
      </w:r>
      <w:r>
        <w:tab/>
      </w:r>
      <w:r>
        <w:fldChar w:fldCharType="begin"/>
      </w:r>
      <w:r>
        <w:instrText xml:space="preserve"> PAGEREF _Toc3127 </w:instrText>
      </w:r>
      <w:r>
        <w:fldChar w:fldCharType="separate"/>
      </w:r>
      <w:r>
        <w:t>7</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_Toc25790 </w:instrText>
      </w:r>
      <w:r>
        <w:rPr>
          <w:rFonts w:hint="eastAsia"/>
          <w:lang w:val="en-US" w:eastAsia="zh-CN"/>
        </w:rPr>
        <w:fldChar w:fldCharType="separate"/>
      </w:r>
      <w:r>
        <w:rPr>
          <w:rFonts w:hint="eastAsia" w:ascii="黑体" w:hAnsi="黑体" w:eastAsia="黑体" w:cs="黑体"/>
          <w:szCs w:val="22"/>
          <w:lang w:val="en-US" w:eastAsia="zh-CN"/>
        </w:rPr>
        <w:t>2.关键业务流程</w:t>
      </w:r>
      <w:r>
        <w:tab/>
      </w:r>
      <w:r>
        <w:fldChar w:fldCharType="begin"/>
      </w:r>
      <w:r>
        <w:instrText xml:space="preserve"> PAGEREF _Toc25790 </w:instrText>
      </w:r>
      <w:r>
        <w:fldChar w:fldCharType="separate"/>
      </w:r>
      <w:r>
        <w:t>8</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_Toc14962 </w:instrText>
      </w:r>
      <w:r>
        <w:rPr>
          <w:rFonts w:hint="eastAsia"/>
          <w:lang w:val="en-US" w:eastAsia="zh-CN"/>
        </w:rPr>
        <w:fldChar w:fldCharType="separate"/>
      </w:r>
      <w:r>
        <w:rPr>
          <w:rFonts w:hint="eastAsia" w:ascii="黑体" w:hAnsi="黑体" w:eastAsia="黑体" w:cs="黑体"/>
          <w:szCs w:val="22"/>
          <w:lang w:val="en-US" w:eastAsia="zh-CN"/>
        </w:rPr>
        <w:t>3.具体需求内容</w:t>
      </w:r>
      <w:r>
        <w:tab/>
      </w:r>
      <w:r>
        <w:fldChar w:fldCharType="begin"/>
      </w:r>
      <w:r>
        <w:instrText xml:space="preserve"> PAGEREF _Toc14962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_Toc11887 </w:instrText>
      </w:r>
      <w:r>
        <w:rPr>
          <w:rFonts w:hint="eastAsia"/>
          <w:lang w:val="en-US" w:eastAsia="zh-CN"/>
        </w:rPr>
        <w:fldChar w:fldCharType="separate"/>
      </w:r>
      <w:r>
        <w:rPr>
          <w:rFonts w:hint="eastAsia" w:ascii="黑体" w:hAnsi="黑体" w:eastAsia="黑体" w:cs="黑体"/>
          <w:szCs w:val="22"/>
          <w:lang w:val="en-US" w:eastAsia="zh-CN"/>
        </w:rPr>
        <w:t>3.1总体功能点</w:t>
      </w:r>
      <w:r>
        <w:tab/>
      </w:r>
      <w:r>
        <w:fldChar w:fldCharType="begin"/>
      </w:r>
      <w:r>
        <w:instrText xml:space="preserve"> PAGEREF _Toc11887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_Toc31326 </w:instrText>
      </w:r>
      <w:r>
        <w:rPr>
          <w:rFonts w:hint="eastAsia"/>
          <w:lang w:val="en-US" w:eastAsia="zh-CN"/>
        </w:rPr>
        <w:fldChar w:fldCharType="separate"/>
      </w:r>
      <w:r>
        <w:rPr>
          <w:rFonts w:hint="eastAsia" w:ascii="黑体" w:hAnsi="黑体" w:eastAsia="黑体" w:cs="黑体"/>
          <w:szCs w:val="22"/>
          <w:lang w:val="en-US" w:eastAsia="zh-CN"/>
        </w:rPr>
        <w:t>3.2功能点描述</w:t>
      </w:r>
      <w:r>
        <w:tab/>
      </w:r>
      <w:r>
        <w:fldChar w:fldCharType="begin"/>
      </w:r>
      <w:r>
        <w:instrText xml:space="preserve"> PAGEREF _Toc31326 </w:instrText>
      </w:r>
      <w:r>
        <w:fldChar w:fldCharType="separate"/>
      </w:r>
      <w:r>
        <w:t>8</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_Toc18762 </w:instrText>
      </w:r>
      <w:r>
        <w:rPr>
          <w:rFonts w:hint="eastAsia"/>
          <w:lang w:val="en-US" w:eastAsia="zh-CN"/>
        </w:rPr>
        <w:fldChar w:fldCharType="separate"/>
      </w:r>
      <w:r>
        <w:rPr>
          <w:rFonts w:hint="eastAsia" w:ascii="黑体" w:hAnsi="黑体" w:eastAsia="黑体" w:cs="黑体"/>
          <w:szCs w:val="30"/>
          <w:lang w:val="en-US" w:eastAsia="zh-CN"/>
        </w:rPr>
        <w:t>3.2.1地图编辑器增加不同类型车位元素</w:t>
      </w:r>
      <w:r>
        <w:tab/>
      </w:r>
      <w:r>
        <w:fldChar w:fldCharType="begin"/>
      </w:r>
      <w:r>
        <w:instrText xml:space="preserve"> PAGEREF _Toc18762 </w:instrText>
      </w:r>
      <w:r>
        <w:fldChar w:fldCharType="separate"/>
      </w:r>
      <w:r>
        <w:t>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_Toc1291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r>
        <w:tab/>
      </w:r>
      <w:r>
        <w:fldChar w:fldCharType="begin"/>
      </w:r>
      <w:r>
        <w:instrText xml:space="preserve"> PAGEREF _Toc1291 </w:instrText>
      </w:r>
      <w:r>
        <w:fldChar w:fldCharType="separate"/>
      </w:r>
      <w:r>
        <w:t>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_Toc22052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r>
        <w:tab/>
      </w:r>
      <w:r>
        <w:fldChar w:fldCharType="begin"/>
      </w:r>
      <w:r>
        <w:instrText xml:space="preserve"> PAGEREF _Toc22052 </w:instrText>
      </w:r>
      <w:r>
        <w:fldChar w:fldCharType="separate"/>
      </w:r>
      <w:r>
        <w:t>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_Toc7158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r>
        <w:tab/>
      </w:r>
      <w:r>
        <w:fldChar w:fldCharType="begin"/>
      </w:r>
      <w:r>
        <w:instrText xml:space="preserve"> PAGEREF _Toc7158 </w:instrText>
      </w:r>
      <w:r>
        <w:fldChar w:fldCharType="separate"/>
      </w:r>
      <w:r>
        <w:t>10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_Toc3228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r>
        <w:tab/>
      </w:r>
      <w:r>
        <w:fldChar w:fldCharType="begin"/>
      </w:r>
      <w:r>
        <w:instrText xml:space="preserve"> PAGEREF _Toc3228 </w:instrText>
      </w:r>
      <w:r>
        <w:fldChar w:fldCharType="separate"/>
      </w:r>
      <w:r>
        <w:t>10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_Toc27660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r>
        <w:tab/>
      </w:r>
      <w:r>
        <w:fldChar w:fldCharType="begin"/>
      </w:r>
      <w:r>
        <w:instrText xml:space="preserve"> PAGEREF _Toc27660 </w:instrText>
      </w:r>
      <w:r>
        <w:fldChar w:fldCharType="separate"/>
      </w:r>
      <w:r>
        <w:t>10</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_Toc4742 </w:instrText>
      </w:r>
      <w:r>
        <w:rPr>
          <w:rFonts w:hint="eastAsia"/>
          <w:lang w:val="en-US" w:eastAsia="zh-CN"/>
        </w:rPr>
        <w:fldChar w:fldCharType="separate"/>
      </w:r>
      <w:r>
        <w:rPr>
          <w:rFonts w:hint="eastAsia" w:ascii="黑体" w:hAnsi="黑体" w:eastAsia="黑体" w:cs="黑体"/>
          <w:szCs w:val="30"/>
          <w:lang w:val="en-US" w:eastAsia="zh-CN"/>
        </w:rPr>
        <w:t>3.2.2 MPGS地图配置修改</w:t>
      </w:r>
      <w:r>
        <w:tab/>
      </w:r>
      <w:r>
        <w:fldChar w:fldCharType="begin"/>
      </w:r>
      <w:r>
        <w:instrText xml:space="preserve"> PAGEREF _Toc4742 </w:instrText>
      </w:r>
      <w:r>
        <w:fldChar w:fldCharType="separate"/>
      </w:r>
      <w:r>
        <w:t>10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_Toc1511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r>
        <w:tab/>
      </w:r>
      <w:r>
        <w:fldChar w:fldCharType="begin"/>
      </w:r>
      <w:r>
        <w:instrText xml:space="preserve"> PAGEREF _Toc1511 </w:instrText>
      </w:r>
      <w:r>
        <w:fldChar w:fldCharType="separate"/>
      </w:r>
      <w:r>
        <w:t>10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_Toc6090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r>
        <w:tab/>
      </w:r>
      <w:r>
        <w:fldChar w:fldCharType="begin"/>
      </w:r>
      <w:r>
        <w:instrText xml:space="preserve"> PAGEREF _Toc6090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_Toc31930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r>
        <w:tab/>
      </w:r>
      <w:r>
        <w:fldChar w:fldCharType="begin"/>
      </w:r>
      <w:r>
        <w:instrText xml:space="preserve"> PAGEREF _Toc31930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_Toc8723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r>
        <w:tab/>
      </w:r>
      <w:r>
        <w:fldChar w:fldCharType="begin"/>
      </w:r>
      <w:r>
        <w:instrText xml:space="preserve"> PAGEREF _Toc8723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_Toc2498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r>
        <w:tab/>
      </w:r>
      <w:r>
        <w:fldChar w:fldCharType="begin"/>
      </w:r>
      <w:r>
        <w:instrText xml:space="preserve"> PAGEREF _Toc2498 </w:instrText>
      </w:r>
      <w:r>
        <w:fldChar w:fldCharType="separate"/>
      </w:r>
      <w:r>
        <w:t>14</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_Toc3830 </w:instrText>
      </w:r>
      <w:r>
        <w:rPr>
          <w:rFonts w:hint="eastAsia"/>
          <w:lang w:val="en-US" w:eastAsia="zh-CN"/>
        </w:rPr>
        <w:fldChar w:fldCharType="separate"/>
      </w:r>
      <w:r>
        <w:rPr>
          <w:rFonts w:hint="eastAsia" w:ascii="黑体" w:hAnsi="黑体" w:eastAsia="黑体" w:cs="黑体"/>
          <w:szCs w:val="30"/>
          <w:lang w:val="en-US" w:eastAsia="zh-CN"/>
        </w:rPr>
        <w:t>3.2.3 MPGS增加蒙版配置引导</w:t>
      </w:r>
      <w:r>
        <w:tab/>
      </w:r>
      <w:r>
        <w:fldChar w:fldCharType="begin"/>
      </w:r>
      <w:r>
        <w:instrText xml:space="preserve"> PAGEREF _Toc3830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_Toc16451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r>
        <w:tab/>
      </w:r>
      <w:r>
        <w:fldChar w:fldCharType="begin"/>
      </w:r>
      <w:r>
        <w:instrText xml:space="preserve"> PAGEREF _Toc16451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_Toc18573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r>
        <w:tab/>
      </w:r>
      <w:r>
        <w:fldChar w:fldCharType="begin"/>
      </w:r>
      <w:r>
        <w:instrText xml:space="preserve"> PAGEREF _Toc18573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_Toc32337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r>
        <w:tab/>
      </w:r>
      <w:r>
        <w:fldChar w:fldCharType="begin"/>
      </w:r>
      <w:r>
        <w:instrText xml:space="preserve"> PAGEREF _Toc32337 </w:instrText>
      </w:r>
      <w:r>
        <w:fldChar w:fldCharType="separate"/>
      </w:r>
      <w:r>
        <w:t>17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_Toc18316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r>
        <w:tab/>
      </w:r>
      <w:r>
        <w:fldChar w:fldCharType="begin"/>
      </w:r>
      <w:r>
        <w:instrText xml:space="preserve"> PAGEREF _Toc18316 </w:instrText>
      </w:r>
      <w:r>
        <w:fldChar w:fldCharType="separate"/>
      </w:r>
      <w:r>
        <w:t>17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_Toc26870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r>
        <w:tab/>
      </w:r>
      <w:r>
        <w:fldChar w:fldCharType="begin"/>
      </w:r>
      <w:r>
        <w:instrText xml:space="preserve"> PAGEREF _Toc26870 </w:instrText>
      </w:r>
      <w:r>
        <w:fldChar w:fldCharType="separate"/>
      </w:r>
      <w:r>
        <w:t>18</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_Toc5979 </w:instrText>
      </w:r>
      <w:r>
        <w:rPr>
          <w:rFonts w:hint="eastAsia"/>
          <w:lang w:val="en-US" w:eastAsia="zh-CN"/>
        </w:rPr>
        <w:fldChar w:fldCharType="separate"/>
      </w:r>
      <w:r>
        <w:rPr>
          <w:rFonts w:hint="eastAsia" w:ascii="黑体" w:hAnsi="黑体" w:eastAsia="黑体" w:cs="黑体"/>
          <w:szCs w:val="30"/>
          <w:lang w:val="en-US" w:eastAsia="zh-CN"/>
        </w:rPr>
        <w:t>3.2.4 增加车位上报流水接口</w:t>
      </w:r>
      <w:r>
        <w:tab/>
      </w:r>
      <w:r>
        <w:fldChar w:fldCharType="begin"/>
      </w:r>
      <w:r>
        <w:instrText xml:space="preserve"> PAGEREF _Toc5979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_Toc30323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r>
        <w:tab/>
      </w:r>
      <w:r>
        <w:fldChar w:fldCharType="begin"/>
      </w:r>
      <w:r>
        <w:instrText xml:space="preserve"> PAGEREF _Toc30323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_Toc29637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r>
        <w:tab/>
      </w:r>
      <w:r>
        <w:fldChar w:fldCharType="begin"/>
      </w:r>
      <w:r>
        <w:instrText xml:space="preserve"> PAGEREF _Toc29637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_Toc24498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r>
        <w:tab/>
      </w:r>
      <w:r>
        <w:fldChar w:fldCharType="begin"/>
      </w:r>
      <w:r>
        <w:instrText xml:space="preserve"> PAGEREF _Toc24498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_Toc5421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r>
        <w:tab/>
      </w:r>
      <w:r>
        <w:fldChar w:fldCharType="begin"/>
      </w:r>
      <w:r>
        <w:instrText xml:space="preserve"> PAGEREF _Toc5421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_Toc23078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r>
        <w:tab/>
      </w:r>
      <w:r>
        <w:fldChar w:fldCharType="begin"/>
      </w:r>
      <w:r>
        <w:instrText xml:space="preserve"> PAGEREF _Toc23078 </w:instrText>
      </w:r>
      <w:r>
        <w:fldChar w:fldCharType="separate"/>
      </w:r>
      <w:r>
        <w:t>18</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_Toc10096 </w:instrText>
      </w:r>
      <w:r>
        <w:rPr>
          <w:rFonts w:hint="eastAsia"/>
          <w:lang w:val="en-US" w:eastAsia="zh-CN"/>
        </w:rPr>
        <w:fldChar w:fldCharType="separate"/>
      </w:r>
      <w:r>
        <w:rPr>
          <w:rFonts w:hint="eastAsia" w:ascii="黑体" w:hAnsi="黑体" w:eastAsia="黑体" w:cs="黑体"/>
          <w:szCs w:val="30"/>
          <w:lang w:val="en-US" w:eastAsia="zh-CN"/>
        </w:rPr>
        <w:t>3.2.5 地图编辑器单个元素右键增量更新</w:t>
      </w:r>
      <w:r>
        <w:tab/>
      </w:r>
      <w:r>
        <w:fldChar w:fldCharType="begin"/>
      </w:r>
      <w:r>
        <w:instrText xml:space="preserve"> PAGEREF _Toc10096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_Toc17823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r>
        <w:tab/>
      </w:r>
      <w:r>
        <w:fldChar w:fldCharType="begin"/>
      </w:r>
      <w:r>
        <w:instrText xml:space="preserve"> PAGEREF _Toc17823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_Toc2271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r>
        <w:tab/>
      </w:r>
      <w:r>
        <w:fldChar w:fldCharType="begin"/>
      </w:r>
      <w:r>
        <w:instrText xml:space="preserve"> PAGEREF _Toc2271 </w:instrText>
      </w:r>
      <w:r>
        <w:fldChar w:fldCharType="separate"/>
      </w:r>
      <w:r>
        <w:t>19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_Toc5606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r>
        <w:tab/>
      </w:r>
      <w:r>
        <w:fldChar w:fldCharType="begin"/>
      </w:r>
      <w:r>
        <w:instrText xml:space="preserve"> PAGEREF _Toc5606 </w:instrText>
      </w:r>
      <w:r>
        <w:fldChar w:fldCharType="separate"/>
      </w:r>
      <w:r>
        <w:t>19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_Toc6641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r>
        <w:tab/>
      </w:r>
      <w:r>
        <w:fldChar w:fldCharType="begin"/>
      </w:r>
      <w:r>
        <w:instrText xml:space="preserve"> PAGEREF _Toc6641 </w:instrText>
      </w:r>
      <w:r>
        <w:fldChar w:fldCharType="separate"/>
      </w:r>
      <w:r>
        <w:t>19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_Toc15901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r>
        <w:tab/>
      </w:r>
      <w:r>
        <w:fldChar w:fldCharType="begin"/>
      </w:r>
      <w:r>
        <w:instrText xml:space="preserve"> PAGEREF _Toc15901 </w:instrText>
      </w:r>
      <w:r>
        <w:fldChar w:fldCharType="separate"/>
      </w:r>
      <w:r>
        <w:t>20</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_Toc27552 </w:instrText>
      </w:r>
      <w:r>
        <w:rPr>
          <w:rFonts w:hint="eastAsia"/>
          <w:lang w:val="en-US" w:eastAsia="zh-CN"/>
        </w:rPr>
        <w:fldChar w:fldCharType="separate"/>
      </w:r>
      <w:r>
        <w:rPr>
          <w:rFonts w:hint="eastAsia" w:ascii="黑体" w:hAnsi="黑体" w:eastAsia="黑体" w:cs="黑体"/>
          <w:szCs w:val="30"/>
          <w:lang w:val="en-US" w:eastAsia="zh-CN"/>
        </w:rPr>
        <w:t>3.2.6 增加反向寻车导航路线图片接口</w:t>
      </w:r>
      <w:r>
        <w:tab/>
      </w:r>
      <w:r>
        <w:fldChar w:fldCharType="begin"/>
      </w:r>
      <w:r>
        <w:instrText xml:space="preserve"> PAGEREF _Toc27552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_Toc21558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r>
        <w:tab/>
      </w:r>
      <w:r>
        <w:fldChar w:fldCharType="begin"/>
      </w:r>
      <w:r>
        <w:instrText xml:space="preserve"> PAGEREF _Toc21558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_Toc18826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r>
        <w:tab/>
      </w:r>
      <w:r>
        <w:fldChar w:fldCharType="begin"/>
      </w:r>
      <w:r>
        <w:instrText xml:space="preserve"> PAGEREF _Toc18826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_Toc5370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r>
        <w:tab/>
      </w:r>
      <w:r>
        <w:fldChar w:fldCharType="begin"/>
      </w:r>
      <w:r>
        <w:instrText xml:space="preserve"> PAGEREF _Toc5370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_Toc18003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r>
        <w:tab/>
      </w:r>
      <w:r>
        <w:fldChar w:fldCharType="begin"/>
      </w:r>
      <w:r>
        <w:instrText xml:space="preserve"> PAGEREF _Toc18003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_Toc30076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r>
        <w:tab/>
      </w:r>
      <w:r>
        <w:fldChar w:fldCharType="begin"/>
      </w:r>
      <w:r>
        <w:instrText xml:space="preserve"> PAGEREF _Toc30076 </w:instrText>
      </w:r>
      <w:r>
        <w:fldChar w:fldCharType="separate"/>
      </w:r>
      <w:r>
        <w:t>20</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_Toc25561 </w:instrText>
      </w:r>
      <w:r>
        <w:rPr>
          <w:rFonts w:hint="eastAsia"/>
          <w:lang w:val="en-US" w:eastAsia="zh-CN"/>
        </w:rPr>
        <w:fldChar w:fldCharType="separate"/>
      </w:r>
      <w:r>
        <w:rPr>
          <w:rFonts w:hint="eastAsia" w:ascii="黑体" w:hAnsi="黑体" w:eastAsia="黑体" w:cs="黑体"/>
          <w:szCs w:val="30"/>
          <w:lang w:val="en-US" w:eastAsia="zh-CN"/>
        </w:rPr>
        <w:t>3.2.7 车位状态接口增加车位最后一张图片、时间查询和无牌车查询</w:t>
      </w:r>
      <w:r>
        <w:tab/>
      </w:r>
      <w:r>
        <w:fldChar w:fldCharType="begin"/>
      </w:r>
      <w:r>
        <w:instrText xml:space="preserve"> PAGEREF _Toc25561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_Toc5352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r>
        <w:tab/>
      </w:r>
      <w:r>
        <w:fldChar w:fldCharType="begin"/>
      </w:r>
      <w:r>
        <w:instrText xml:space="preserve"> PAGEREF _Toc5352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_Toc32309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r>
        <w:tab/>
      </w:r>
      <w:r>
        <w:fldChar w:fldCharType="begin"/>
      </w:r>
      <w:r>
        <w:instrText xml:space="preserve"> PAGEREF _Toc32309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_Toc14865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r>
        <w:tab/>
      </w:r>
      <w:r>
        <w:fldChar w:fldCharType="begin"/>
      </w:r>
      <w:r>
        <w:instrText xml:space="preserve"> PAGEREF _Toc14865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_Toc6050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r>
        <w:tab/>
      </w:r>
      <w:r>
        <w:fldChar w:fldCharType="begin"/>
      </w:r>
      <w:r>
        <w:instrText xml:space="preserve"> PAGEREF _Toc6050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_Toc8750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r>
        <w:tab/>
      </w:r>
      <w:r>
        <w:fldChar w:fldCharType="begin"/>
      </w:r>
      <w:r>
        <w:instrText xml:space="preserve"> PAGEREF _Toc8750 </w:instrText>
      </w:r>
      <w:r>
        <w:fldChar w:fldCharType="separate"/>
      </w:r>
      <w:r>
        <w:t>21</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_Toc21696 </w:instrText>
      </w:r>
      <w:r>
        <w:rPr>
          <w:rFonts w:hint="eastAsia"/>
          <w:lang w:val="en-US" w:eastAsia="zh-CN"/>
        </w:rPr>
        <w:fldChar w:fldCharType="separate"/>
      </w:r>
      <w:r>
        <w:rPr>
          <w:rFonts w:hint="eastAsia" w:ascii="黑体" w:hAnsi="黑体" w:eastAsia="黑体" w:cs="黑体"/>
          <w:szCs w:val="30"/>
          <w:lang w:val="en-US" w:eastAsia="zh-CN"/>
        </w:rPr>
        <w:t>3.2.8 增加支持查询引导屏的下发列表</w:t>
      </w:r>
      <w:r>
        <w:tab/>
      </w:r>
      <w:r>
        <w:fldChar w:fldCharType="begin"/>
      </w:r>
      <w:r>
        <w:instrText xml:space="preserve"> PAGEREF _Toc21696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_Toc21145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r>
        <w:tab/>
      </w:r>
      <w:r>
        <w:fldChar w:fldCharType="begin"/>
      </w:r>
      <w:r>
        <w:instrText xml:space="preserve"> PAGEREF _Toc21145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_Toc13263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r>
        <w:tab/>
      </w:r>
      <w:r>
        <w:fldChar w:fldCharType="begin"/>
      </w:r>
      <w:r>
        <w:instrText xml:space="preserve"> PAGEREF _Toc13263 </w:instrText>
      </w:r>
      <w:r>
        <w:fldChar w:fldCharType="separate"/>
      </w:r>
      <w:r>
        <w:t>22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_Toc28061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r>
        <w:tab/>
      </w:r>
      <w:r>
        <w:fldChar w:fldCharType="begin"/>
      </w:r>
      <w:r>
        <w:instrText xml:space="preserve"> PAGEREF _Toc28061 </w:instrText>
      </w:r>
      <w:r>
        <w:fldChar w:fldCharType="separate"/>
      </w:r>
      <w:r>
        <w:t>22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_Toc7888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r>
        <w:tab/>
      </w:r>
      <w:r>
        <w:fldChar w:fldCharType="begin"/>
      </w:r>
      <w:r>
        <w:instrText xml:space="preserve"> PAGEREF _Toc7888 </w:instrText>
      </w:r>
      <w:r>
        <w:fldChar w:fldCharType="separate"/>
      </w:r>
      <w:r>
        <w:t>22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_Toc19088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r>
        <w:tab/>
      </w:r>
      <w:r>
        <w:fldChar w:fldCharType="begin"/>
      </w:r>
      <w:r>
        <w:instrText xml:space="preserve"> PAGEREF _Toc19088 </w:instrText>
      </w:r>
      <w:r>
        <w:fldChar w:fldCharType="separate"/>
      </w:r>
      <w:r>
        <w:t>22</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_Toc14261 </w:instrText>
      </w:r>
      <w:r>
        <w:rPr>
          <w:rFonts w:hint="eastAsia"/>
          <w:lang w:val="en-US" w:eastAsia="zh-CN"/>
        </w:rPr>
        <w:fldChar w:fldCharType="separate"/>
      </w:r>
      <w:r>
        <w:rPr>
          <w:rFonts w:hint="eastAsia" w:ascii="黑体" w:hAnsi="黑体" w:eastAsia="黑体" w:cs="黑体"/>
          <w:szCs w:val="30"/>
          <w:lang w:val="en-US" w:eastAsia="zh-CN"/>
        </w:rPr>
        <w:t>3.2.9 寻车H5页面增加版权说明</w:t>
      </w:r>
      <w:r>
        <w:tab/>
      </w:r>
      <w:r>
        <w:fldChar w:fldCharType="begin"/>
      </w:r>
      <w:r>
        <w:instrText xml:space="preserve"> PAGEREF _Toc14261 </w:instrText>
      </w:r>
      <w:r>
        <w:fldChar w:fldCharType="separate"/>
      </w:r>
      <w:r>
        <w:t>22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_Toc21446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.1功能说明</w:t>
      </w:r>
      <w:r>
        <w:tab/>
      </w:r>
      <w:r>
        <w:fldChar w:fldCharType="begin"/>
      </w:r>
      <w:r>
        <w:instrText xml:space="preserve"> PAGEREF _Toc21446 </w:instrText>
      </w:r>
      <w:r>
        <w:fldChar w:fldCharType="separate"/>
      </w:r>
      <w:r>
        <w:t>22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_Toc30469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.2原型界面</w:t>
      </w:r>
      <w:r>
        <w:tab/>
      </w:r>
      <w:r>
        <w:fldChar w:fldCharType="begin"/>
      </w:r>
      <w:r>
        <w:instrText xml:space="preserve"> PAGEREF _Toc30469 </w:instrText>
      </w:r>
      <w:r>
        <w:fldChar w:fldCharType="separate"/>
      </w:r>
      <w:r>
        <w:t>23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r>
        <w:tab/>
      </w:r>
      <w:r>
        <w:fldChar w:fldCharType="begin"/>
      </w:r>
      <w:r>
        <w:instrText xml:space="preserve"> PAGEREF _Toc294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_Toc14489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r>
        <w:tab/>
      </w:r>
      <w:r>
        <w:fldChar w:fldCharType="begin"/>
      </w:r>
      <w:r>
        <w:instrText xml:space="preserve"> PAGEREF _Toc14489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_Toc15466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r>
        <w:tab/>
      </w:r>
      <w:r>
        <w:fldChar w:fldCharType="begin"/>
      </w:r>
      <w:r>
        <w:instrText xml:space="preserve"> PAGEREF _Toc15466 </w:instrText>
      </w:r>
      <w:r>
        <w:fldChar w:fldCharType="separate"/>
      </w:r>
      <w:r>
        <w:t>24</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_Toc28520 </w:instrText>
      </w:r>
      <w:r>
        <w:rPr>
          <w:rFonts w:hint="eastAsia"/>
          <w:lang w:val="en-US" w:eastAsia="zh-CN"/>
        </w:rPr>
        <w:fldChar w:fldCharType="separate"/>
      </w:r>
      <w:r>
        <w:rPr>
          <w:rFonts w:hint="eastAsia" w:ascii="黑体" w:hAnsi="黑体" w:eastAsia="黑体" w:cs="黑体"/>
          <w:szCs w:val="30"/>
          <w:lang w:val="en-US" w:eastAsia="zh-CN"/>
        </w:rPr>
        <w:t>3.2.10 区域可以查询其所属车位列表信息</w:t>
      </w:r>
      <w:r>
        <w:tab/>
      </w:r>
      <w:r>
        <w:fldChar w:fldCharType="begin"/>
      </w:r>
      <w:r>
        <w:instrText xml:space="preserve"> PAGEREF _Toc28520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_Toc9293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.1功能说明</w:t>
      </w:r>
      <w:r>
        <w:tab/>
      </w:r>
      <w:r>
        <w:fldChar w:fldCharType="begin"/>
      </w:r>
      <w:r>
        <w:instrText xml:space="preserve"> PAGEREF _Toc9293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_Toc16499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.2原型界面</w:t>
      </w:r>
      <w:r>
        <w:tab/>
      </w:r>
      <w:r>
        <w:fldChar w:fldCharType="begin"/>
      </w:r>
      <w:r>
        <w:instrText xml:space="preserve"> PAGEREF _Toc16499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_Toc3634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.3流程图</w:t>
      </w:r>
      <w:r>
        <w:tab/>
      </w:r>
      <w:r>
        <w:fldChar w:fldCharType="begin"/>
      </w:r>
      <w:r>
        <w:instrText xml:space="preserve"> PAGEREF _Toc3634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_Toc1617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.4功能按钮说明</w:t>
      </w:r>
      <w:r>
        <w:tab/>
      </w:r>
      <w:r>
        <w:fldChar w:fldCharType="begin"/>
      </w:r>
      <w:r>
        <w:instrText xml:space="preserve"> PAGEREF _Toc1617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_Toc25104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.5用例</w:t>
      </w:r>
      <w:r>
        <w:tab/>
      </w:r>
      <w:r>
        <w:fldChar w:fldCharType="begin"/>
      </w:r>
      <w:r>
        <w:instrText xml:space="preserve"> PAGEREF _Toc25104 </w:instrText>
      </w:r>
      <w:r>
        <w:fldChar w:fldCharType="separate"/>
      </w:r>
      <w:r>
        <w:t>25</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_Toc2545 </w:instrText>
      </w:r>
      <w:r>
        <w:rPr>
          <w:rFonts w:hint="eastAsia"/>
          <w:lang w:val="en-US" w:eastAsia="zh-CN"/>
        </w:rPr>
        <w:fldChar w:fldCharType="separate"/>
      </w:r>
      <w:r>
        <w:rPr>
          <w:rFonts w:hint="eastAsia" w:ascii="黑体" w:hAnsi="黑体" w:eastAsia="黑体" w:cs="黑体"/>
          <w:szCs w:val="30"/>
          <w:lang w:val="en-US" w:eastAsia="zh-CN"/>
        </w:rPr>
        <w:t>3.2.11 地图编辑器配色规范</w:t>
      </w:r>
      <w:r>
        <w:tab/>
      </w:r>
      <w:r>
        <w:fldChar w:fldCharType="begin"/>
      </w:r>
      <w:r>
        <w:instrText xml:space="preserve"> PAGEREF _Toc2545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_Toc2720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r>
        <w:tab/>
      </w:r>
      <w:r>
        <w:fldChar w:fldCharType="begin"/>
      </w:r>
      <w:r>
        <w:instrText xml:space="preserve"> PAGEREF _Toc2720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_Toc25224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r>
        <w:tab/>
      </w:r>
      <w:r>
        <w:fldChar w:fldCharType="begin"/>
      </w:r>
      <w:r>
        <w:instrText xml:space="preserve"> PAGEREF _Toc25224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_Toc17446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r>
        <w:tab/>
      </w:r>
      <w:r>
        <w:fldChar w:fldCharType="begin"/>
      </w:r>
      <w:r>
        <w:instrText xml:space="preserve"> PAGEREF _Toc17446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_Toc15807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r>
        <w:tab/>
      </w:r>
      <w:r>
        <w:fldChar w:fldCharType="begin"/>
      </w:r>
      <w:r>
        <w:instrText xml:space="preserve"> PAGEREF _Toc15807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_Toc9798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r>
        <w:tab/>
      </w:r>
      <w:r>
        <w:fldChar w:fldCharType="begin"/>
      </w:r>
      <w:r>
        <w:instrText xml:space="preserve"> PAGEREF _Toc9798 </w:instrText>
      </w:r>
      <w:r>
        <w:fldChar w:fldCharType="separate"/>
      </w:r>
      <w:r>
        <w:t>27</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_Toc6826 </w:instrText>
      </w:r>
      <w:r>
        <w:rPr>
          <w:rFonts w:hint="eastAsia"/>
          <w:lang w:val="en-US" w:eastAsia="zh-CN"/>
        </w:rPr>
        <w:fldChar w:fldCharType="separate"/>
      </w:r>
      <w:r>
        <w:rPr>
          <w:rFonts w:hint="eastAsia" w:ascii="黑体" w:hAnsi="黑体" w:eastAsia="黑体" w:cs="黑体"/>
          <w:szCs w:val="22"/>
          <w:lang w:val="en-US" w:eastAsia="zh-CN"/>
        </w:rPr>
        <w:t>4.非功能性需求</w:t>
      </w:r>
      <w:r>
        <w:tab/>
      </w:r>
      <w:r>
        <w:fldChar w:fldCharType="begin"/>
      </w:r>
      <w:r>
        <w:instrText xml:space="preserve"> PAGEREF _Toc6826 </w:instrText>
      </w:r>
      <w:r>
        <w:fldChar w:fldCharType="separate"/>
      </w:r>
      <w:r>
        <w:t>28</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_Toc27079 </w:instrText>
      </w:r>
      <w:r>
        <w:rPr>
          <w:rFonts w:hint="eastAsia"/>
          <w:lang w:val="en-US" w:eastAsia="zh-CN"/>
        </w:rPr>
        <w:fldChar w:fldCharType="separate"/>
      </w:r>
      <w:r>
        <w:rPr>
          <w:rFonts w:hint="eastAsia" w:ascii="黑体" w:hAnsi="黑体" w:eastAsia="黑体" w:cs="黑体"/>
          <w:szCs w:val="22"/>
          <w:lang w:val="en-US" w:eastAsia="zh-CN"/>
        </w:rPr>
        <w:t>5.外部接口说明</w:t>
      </w:r>
      <w:r>
        <w:tab/>
      </w:r>
      <w:r>
        <w:fldChar w:fldCharType="begin"/>
      </w:r>
      <w:r>
        <w:instrText xml:space="preserve"> PAGEREF _Toc27079 </w:instrText>
      </w:r>
      <w:r>
        <w:fldChar w:fldCharType="separate"/>
      </w:r>
      <w:r>
        <w:t>28</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_Toc5382 </w:instrText>
      </w:r>
      <w:r>
        <w:rPr>
          <w:rFonts w:hint="eastAsia"/>
          <w:lang w:val="en-US" w:eastAsia="zh-CN"/>
        </w:rPr>
        <w:fldChar w:fldCharType="separate"/>
      </w:r>
      <w:r>
        <w:rPr>
          <w:rFonts w:hint="eastAsia" w:ascii="黑体" w:hAnsi="黑体" w:eastAsia="黑体" w:cs="黑体"/>
          <w:szCs w:val="22"/>
          <w:lang w:val="en-US" w:eastAsia="zh-CN"/>
        </w:rPr>
        <w:t>6.附件</w:t>
      </w:r>
      <w:r>
        <w:tab/>
      </w:r>
      <w:r>
        <w:fldChar w:fldCharType="begin"/>
      </w:r>
      <w:r>
        <w:instrText xml:space="preserve"> PAGEREF _Toc5382 </w:instrText>
      </w:r>
      <w:r>
        <w:fldChar w:fldCharType="separate"/>
      </w:r>
      <w:r>
        <w:t>28</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_Toc12598 </w:instrText>
      </w:r>
      <w:r>
        <w:rPr>
          <w:rFonts w:hint="eastAsia"/>
          <w:lang w:val="en-US" w:eastAsia="zh-CN"/>
        </w:rPr>
        <w:fldChar w:fldCharType="separate"/>
      </w:r>
      <w:r>
        <w:rPr>
          <w:rFonts w:hint="eastAsia" w:ascii="黑体" w:hAnsi="黑体" w:eastAsia="黑体" w:cs="黑体"/>
          <w:szCs w:val="22"/>
          <w:lang w:val="en-US" w:eastAsia="zh-CN"/>
        </w:rPr>
        <w:t>7.附录</w:t>
      </w:r>
      <w:r>
        <w:tab/>
      </w:r>
      <w:r>
        <w:fldChar w:fldCharType="begin"/>
      </w:r>
      <w:r>
        <w:instrText xml:space="preserve"> PAGEREF _Toc12598 </w:instrText>
      </w:r>
      <w:r>
        <w:fldChar w:fldCharType="separate"/>
      </w:r>
      <w:r>
        <w:t>28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_Toc3022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r>
        <w:tab/>
      </w:r>
      <w:r>
        <w:fldChar w:fldCharType="begin"/>
      </w:r>
      <w:r>
        <w:instrText xml:space="preserve"> PAGEREF _Toc3022 </w:instrText>
      </w:r>
      <w:r>
        <w:fldChar w:fldCharType="separate"/>
      </w:r>
      <w:r>
        <w:t>28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_Toc5054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r>
        <w:tab/>
      </w:r>
      <w:r>
        <w:fldChar w:fldCharType="begin"/>
      </w:r>
      <w:r>
        <w:instrText xml:space="preserve"> PAGEREF _Toc5054 </w:instrText>
      </w:r>
      <w:r>
        <w:fldChar w:fldCharType="separate"/>
      </w:r>
      <w:r>
        <w:t>29</w:t>
      </w:r>
      <w:r>
        <w:fldChar w:fldCharType="end"/>
      </w:r>
      <w:r>
        <w:rPr>
          <w:rFonts w:hint="eastAsia"/>
          <w:lang w:val="en-US" w:eastAsia="zh-CN"/>
        </w:rPr>
        <w:fldChar w:fldCharType="end"/>
      </w:r>
    </w:p>
    <w:p>
      <w:pPr>
        <w:sectPr>
          <w:pgSz w:w="11906" w:h="16838"/>
          <w:pgMar w:top="1440" w:right="1080" w:bottom="1440" w:left="1080" w:header="851" w:footer="992" w:gutter="0"/>
          <w:cols w:space="425" w:num="1"/>
          <w:docGrid w:type="lines" w:linePitch="312" w:charSpace="0"/>
        </w:sectPr>
      </w:pPr>
      <w:r>
        <w:rPr>
          <w:rFonts w:hint="eastAsia"/>
          <w:lang w:val="en-US" w:eastAsia="zh-CN"/>
        </w:rPr>
        <w:fldChar w:fldCharType="end"/>
      </w:r>
    </w:p>
    <w:p>
      <w:pPr>
        <w:pStyle w:val="2"/>
        <w:numPr>
          <w:ilvl w:val="0"/>
          <w:numId w:val="0"/>
        </w:numPr>
        <w:ind w:leftChars="0"/>
        <w:rPr>
          <w:rFonts w:hint="eastAsia" w:ascii="黑体" w:hAnsi="黑体" w:eastAsia="黑体" w:cs="黑体"/>
          <w:b/>
          <w:bCs/>
          <w:color w:val="auto"/>
          <w:sz w:val="36"/>
          <w:szCs w:val="36"/>
          <w:lang w:val="en-US" w:eastAsia="zh-CN"/>
        </w:rPr>
      </w:pPr>
      <w:bookmarkStart w:id="10" w:name="_Toc1909"/>
      <w:bookmarkStart w:id="11" w:name="_Toc26893"/>
      <w:bookmarkStart w:id="12" w:name="_Toc28513"/>
      <w:bookmarkStart w:id="13" w:name="_Toc23227"/>
      <w:bookmarkStart w:id="14" w:name="_Toc27375"/>
      <w:bookmarkStart w:id="15" w:name="_Toc17589"/>
      <w:r>
        <w:rPr>
          <w:rFonts w:hint="eastAsia" w:ascii="黑体" w:hAnsi="黑体" w:eastAsia="黑体" w:cs="黑体"/>
          <w:b/>
          <w:bCs/>
          <w:color w:val="auto"/>
          <w:sz w:val="36"/>
          <w:szCs w:val="36"/>
          <w:lang w:val="en-US" w:eastAsia="zh-CN"/>
        </w:rPr>
        <w:t>全局说明</w:t>
      </w:r>
      <w:bookmarkEnd w:id="10"/>
      <w:bookmarkEnd w:id="11"/>
      <w:bookmarkEnd w:id="12"/>
      <w:bookmarkEnd w:id="13"/>
      <w:bookmarkEnd w:id="14"/>
      <w:bookmarkEnd w:id="15"/>
    </w:p>
    <w:tbl>
      <w:tblPr>
        <w:tblStyle w:val="14"/>
        <w:tblW w:w="9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
        <w:gridCol w:w="2917"/>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shd w:val="clear" w:color="auto" w:fill="BEBEBE"/>
            <w:vAlign w:val="center"/>
          </w:tcPr>
          <w:p>
            <w:pPr>
              <w:jc w:val="center"/>
              <w:rPr>
                <w:rFonts w:hint="eastAsia" w:ascii="宋体" w:hAnsi="宋体" w:eastAsia="宋体" w:cs="宋体"/>
                <w:b/>
                <w:bCs/>
                <w:color w:val="auto"/>
                <w:lang w:eastAsia="zh-CN"/>
              </w:rPr>
            </w:pPr>
            <w:bookmarkStart w:id="16" w:name="_Toc32306"/>
            <w:bookmarkStart w:id="17" w:name="_Toc7778"/>
            <w:r>
              <w:rPr>
                <w:rFonts w:hint="eastAsia" w:ascii="宋体" w:hAnsi="宋体" w:eastAsia="宋体" w:cs="宋体"/>
                <w:b/>
                <w:bCs/>
                <w:color w:val="auto"/>
                <w:lang w:eastAsia="zh-CN"/>
              </w:rPr>
              <w:t>序号</w:t>
            </w:r>
          </w:p>
        </w:tc>
        <w:tc>
          <w:tcPr>
            <w:tcW w:w="2917"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对象</w:t>
            </w:r>
          </w:p>
        </w:tc>
        <w:tc>
          <w:tcPr>
            <w:tcW w:w="6181"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2"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输入框</w:t>
            </w:r>
          </w:p>
        </w:tc>
        <w:tc>
          <w:tcPr>
            <w:tcW w:w="6181" w:type="dxa"/>
            <w:vAlign w:val="top"/>
          </w:tcPr>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所有输入框必须校验合法性输入；</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所有输入框中的提示信息，在光标点击后都必须消失，如果未输入内容在光标移除后恢复提示文本；</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在所有输入型控件输入内容错误需要在解除输入状态或者提交文本框后用感叹号提示此控件输入错误，且有相应文本显示；</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所有必输字段的输入框后面都必须带有*号。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2</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下拉列表</w:t>
            </w:r>
          </w:p>
        </w:tc>
        <w:tc>
          <w:tcPr>
            <w:tcW w:w="6181" w:type="dxa"/>
            <w:vAlign w:val="top"/>
          </w:tcPr>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所有下拉列表不能输入；</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下拉列表内选项文本是后台获取（后台可配置），不能写死在前端页面；</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必须要有一个默认选定的，不能为空，未特别指定时，为“全部”选项，如没有类似全部的选项，用第一个选项。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3</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单选框</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在有多个单选框的情况下，必须要有一个默认选定的，不能为空，未特别指定时，为第一个选项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4</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复选框</w:t>
            </w:r>
          </w:p>
        </w:tc>
        <w:tc>
          <w:tcPr>
            <w:tcW w:w="6181" w:type="dxa"/>
            <w:vAlign w:val="top"/>
          </w:tcPr>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复选框所对应项如果是必输项，则必须勾选至少一个选项；</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复选框默认所有选项都不勾选；</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如果提供了全选按钮，则必须提供对应的反选按钮。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3"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5</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按钮</w:t>
            </w:r>
          </w:p>
        </w:tc>
        <w:tc>
          <w:tcPr>
            <w:tcW w:w="6181" w:type="dxa"/>
            <w:vAlign w:val="top"/>
          </w:tcPr>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按钮鼠标移动至上面时必须转为可点击手型；</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点击时必须要有相应的反馈，即多态（未点击状态、悬停态、点击态、点击后状态），各状态可视具体情况取舍，如文本变化或者变色，具体见UI设计；</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对于回写业务事件按钮不能通过快速点击进行多次触发，查询等按钮也尽量做到短期快速点击后只触发一次操作。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6</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可点击文本</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所有可点击文本都采用自带下划线且为蓝色表示，UI特殊指明的地方除外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７</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表格</w:t>
            </w:r>
          </w:p>
        </w:tc>
        <w:tc>
          <w:tcPr>
            <w:tcW w:w="6181" w:type="dxa"/>
            <w:vAlign w:val="top"/>
          </w:tcPr>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如UI没有特别说明，表格如果没有数据，在表格下方的空白区域显示暂时未搜索到数据的信息，不能写在表格中。</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表格中带有单位的，在列名称上要括号带上单位，如：应收（元），如果此列可能有多个单位的，直接在列中带上单位，而不在列中标明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8</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导出</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未特别说明的，所有页面的导出按钮都是导出全部的匹配结果而不是仅仅指当前页的。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9</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排序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关于排序，如无特别说明的地方，都以对应页面主元素的逆序排序（即最近发生的在最前面），如：在场车辆，以进场时间，最近进场的在前面。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10</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密码格式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所有输入的信息必须以*号代替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11</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操作人及操作时间的记录</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所有改变记录信息及状态的操作后台都要记录对应的操作人和操作时间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12</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提交</w:t>
            </w:r>
          </w:p>
        </w:tc>
        <w:tc>
          <w:tcPr>
            <w:tcW w:w="6181" w:type="dxa"/>
            <w:vAlign w:val="top"/>
          </w:tcPr>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提交成功：右下角提示框提示“保存成功”，2秒后自动消失；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信息不合法：信息不合规则，直接跳转光标到对应项目，对应项目异步提示区提示错误信息；</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提交失败：右下角提示框提示“保存失败”，2秒后自动消失；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13</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删除</w:t>
            </w:r>
          </w:p>
        </w:tc>
        <w:tc>
          <w:tcPr>
            <w:tcW w:w="6181" w:type="dxa"/>
            <w:vAlign w:val="top"/>
          </w:tcPr>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点击删除：询问“是否确定删除”，确定后才能完成删除操作；</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删除成功：右下角提示框提示“删除成功”，2秒后自动消失；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删除失败：右下角提示框提示“删除失败，请稍后再试或联系管理员”，2秒后自动消失；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5"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14</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单元格内容过多</w:t>
            </w:r>
          </w:p>
        </w:tc>
        <w:tc>
          <w:tcPr>
            <w:tcW w:w="6181" w:type="dxa"/>
            <w:vAlign w:val="top"/>
          </w:tcPr>
          <w:p>
            <w:pPr>
              <w:numPr>
                <w:ilvl w:val="0"/>
                <w:numId w:val="0"/>
              </w:numPr>
              <w:ind w:leftChars="0"/>
              <w:rPr>
                <w:rFonts w:hint="eastAsia" w:ascii="宋体" w:hAnsi="宋体" w:eastAsia="宋体" w:cs="宋体"/>
                <w:color w:val="auto"/>
                <w:lang w:val="en-US" w:eastAsia="zh-CN"/>
              </w:rPr>
            </w:pPr>
            <w:r>
              <w:rPr>
                <w:rFonts w:hint="eastAsia" w:ascii="宋体" w:hAnsi="宋体" w:eastAsia="宋体" w:cs="宋体"/>
                <w:color w:val="auto"/>
                <w:lang w:val="en-US" w:eastAsia="zh-CN"/>
              </w:rPr>
              <w:t>当单元格需要显示的内容过多时，需要采取截断显示，截断处显示“…”，并提供“更多”链接查看完整收费简介。当鼠标指针移入“更多”时显示，移出“更多”时隐藏。（如下图所示）</w:t>
            </w:r>
          </w:p>
          <w:p>
            <w:pPr>
              <w:numPr>
                <w:ilvl w:val="0"/>
                <w:numId w:val="0"/>
              </w:numPr>
              <w:ind w:leftChars="0"/>
              <w:rPr>
                <w:rFonts w:hint="eastAsia" w:ascii="宋体" w:hAnsi="宋体" w:eastAsia="宋体" w:cs="宋体"/>
                <w:color w:val="auto"/>
                <w:lang w:val="en-US" w:eastAsia="zh-CN"/>
              </w:rPr>
            </w:pPr>
            <w:r>
              <w:rPr>
                <w:color w:val="auto"/>
              </w:rPr>
              <w:drawing>
                <wp:inline distT="0" distB="0" distL="114300" distR="114300">
                  <wp:extent cx="2495550" cy="1733550"/>
                  <wp:effectExtent l="0" t="0" r="635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
                          <a:stretch>
                            <a:fillRect/>
                          </a:stretch>
                        </pic:blipFill>
                        <pic:spPr>
                          <a:xfrm>
                            <a:off x="0" y="0"/>
                            <a:ext cx="2495550" cy="1733550"/>
                          </a:xfrm>
                          <a:prstGeom prst="rect">
                            <a:avLst/>
                          </a:prstGeom>
                          <a:noFill/>
                          <a:ln w="9525">
                            <a:noFill/>
                          </a:ln>
                        </pic:spPr>
                      </pic:pic>
                    </a:graphicData>
                  </a:graphic>
                </wp:inline>
              </w:drawing>
            </w:r>
          </w:p>
        </w:tc>
      </w:tr>
      <w:bookmarkEnd w:id="16"/>
      <w:bookmarkEnd w:id="17"/>
    </w:tbl>
    <w:p>
      <w:pPr>
        <w:sectPr>
          <w:pgSz w:w="11906" w:h="16838"/>
          <w:pgMar w:top="1440" w:right="1080" w:bottom="1440" w:left="1080" w:header="851" w:footer="992" w:gutter="0"/>
          <w:cols w:space="425" w:num="1"/>
          <w:docGrid w:type="lines" w:linePitch="312" w:charSpace="0"/>
        </w:sect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bookmarkStart w:id="18" w:name="_Toc3041"/>
      <w:bookmarkStart w:id="19" w:name="_Toc2143"/>
      <w:bookmarkStart w:id="20" w:name="_Toc15886"/>
      <w:bookmarkStart w:id="21" w:name="_Toc31429"/>
      <w:bookmarkStart w:id="22" w:name="_Toc9753"/>
      <w:r>
        <w:rPr>
          <w:rFonts w:hint="eastAsia" w:ascii="黑体" w:hAnsi="黑体" w:eastAsia="黑体" w:cs="黑体"/>
          <w:lang w:val="en-US" w:eastAsia="zh-CN"/>
        </w:rPr>
        <w:t>1.目的</w:t>
      </w:r>
      <w:bookmarkEnd w:id="18"/>
      <w:bookmarkEnd w:id="19"/>
      <w:bookmarkEnd w:id="20"/>
      <w:bookmarkEnd w:id="21"/>
      <w:bookmarkEnd w:id="22"/>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lang w:val="en-US" w:eastAsia="zh-CN"/>
        </w:rPr>
      </w:pPr>
      <w:bookmarkStart w:id="23" w:name="_Toc23024"/>
      <w:bookmarkStart w:id="24" w:name="_Toc19106"/>
      <w:bookmarkStart w:id="25" w:name="_Toc25502"/>
      <w:bookmarkStart w:id="26" w:name="_Toc15109"/>
      <w:bookmarkStart w:id="27" w:name="_Toc5568"/>
      <w:r>
        <w:rPr>
          <w:rFonts w:hint="eastAsia" w:ascii="黑体" w:hAnsi="黑体" w:eastAsia="黑体" w:cs="黑体"/>
          <w:lang w:val="en-US" w:eastAsia="zh-CN"/>
        </w:rPr>
        <w:t>1.1背景</w:t>
      </w:r>
      <w:bookmarkEnd w:id="23"/>
      <w:bookmarkEnd w:id="24"/>
      <w:bookmarkEnd w:id="25"/>
      <w:bookmarkEnd w:id="26"/>
      <w:bookmarkEnd w:id="27"/>
    </w:p>
    <w:p>
      <w:pPr>
        <w:rPr>
          <w:rFonts w:hint="eastAsia" w:ascii="黑体" w:hAnsi="黑体" w:eastAsia="黑体" w:cs="黑体"/>
          <w:lang w:val="en-US" w:eastAsia="zh-CN"/>
        </w:rPr>
      </w:pPr>
      <w:r>
        <w:rPr>
          <w:rFonts w:hint="eastAsia" w:ascii="黑体" w:hAnsi="黑体" w:eastAsia="黑体" w:cs="黑体"/>
          <w:lang w:val="en-US" w:eastAsia="zh-CN"/>
        </w:rPr>
        <w:t>MPGS系统模块和功能的迭代需求。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8" w:name="_Toc10609"/>
      <w:bookmarkStart w:id="29" w:name="_Toc20322"/>
      <w:bookmarkStart w:id="30" w:name="_Toc5256"/>
      <w:bookmarkStart w:id="31" w:name="_Toc29955"/>
      <w:bookmarkStart w:id="32" w:name="_Toc29668"/>
      <w:r>
        <w:rPr>
          <w:rFonts w:hint="eastAsia" w:ascii="黑体" w:hAnsi="黑体" w:eastAsia="黑体" w:cs="黑体"/>
          <w:szCs w:val="22"/>
          <w:lang w:val="en-US" w:eastAsia="zh-CN"/>
        </w:rPr>
        <w:t>1.2目的</w:t>
      </w:r>
      <w:bookmarkEnd w:id="28"/>
      <w:bookmarkEnd w:id="29"/>
      <w:bookmarkEnd w:id="30"/>
      <w:bookmarkEnd w:id="31"/>
      <w:bookmarkEnd w:id="32"/>
    </w:p>
    <w:p>
      <w:pPr>
        <w:rPr>
          <w:rFonts w:hint="eastAsia" w:ascii="黑体" w:hAnsi="黑体" w:eastAsia="黑体" w:cs="黑体"/>
          <w:lang w:val="en-US" w:eastAsia="zh-CN"/>
        </w:rPr>
      </w:pPr>
      <w:r>
        <w:rPr>
          <w:rFonts w:hint="eastAsia" w:ascii="黑体" w:hAnsi="黑体" w:eastAsia="黑体" w:cs="黑体"/>
          <w:lang w:val="en-US" w:eastAsia="zh-CN"/>
        </w:rPr>
        <w:t>进一步完善MPGS系统，减轻实施过程中的痛点。</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3" w:name="_Toc24270"/>
      <w:bookmarkStart w:id="34" w:name="_Toc10744"/>
      <w:bookmarkStart w:id="35" w:name="_Toc3127"/>
      <w:bookmarkStart w:id="36" w:name="_Toc23979"/>
      <w:bookmarkStart w:id="37" w:name="_Toc18131"/>
      <w:r>
        <w:rPr>
          <w:rFonts w:hint="eastAsia" w:ascii="黑体" w:hAnsi="黑体" w:eastAsia="黑体" w:cs="黑体"/>
          <w:szCs w:val="22"/>
          <w:lang w:val="en-US" w:eastAsia="zh-CN"/>
        </w:rPr>
        <w:t>1.3需求描述与约定</w:t>
      </w:r>
      <w:bookmarkEnd w:id="33"/>
      <w:bookmarkEnd w:id="34"/>
      <w:bookmarkEnd w:id="35"/>
      <w:bookmarkEnd w:id="36"/>
      <w:bookmarkEnd w:id="37"/>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需求标识方法：</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1、需求序列化编号（A-B-C)</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A: 需求类型代码；功能需求代码：F（Function），非功能需求代码：NF（Non-Function）</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 子系统/模块代码；按模块简称自定义三位字母编号，如：USR(用户管理模块)</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C：需求点代码：三位流水编号，如：001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例如：第一个子系统/模块的第一个功能需求点的编号为：F-USR-001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2、需求层级序号：两位流水编号，如：01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3、优先级描述约定：从低到高分为五级，对应代码：1,2,3,4,5；代码1表示最低，代码5表示最高。</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4、使用频度描述：时间段/次；例如：一天/次。</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5、前置条件序列化编号：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FC001；前两位为固定代码（Forward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6、后置条件序列化编号：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BC001；前两位为固定代码（Backward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7、正常过程：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N01；前一位为固定代码（Normal），后两位为流水编号。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8、可选过程：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O01；前一位为固定代码（Option），后两位为对应正常过程的编号）。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O01-01(对应正常过程N01的可选过程)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O01-01-01(可选过程O01-01的下游过程)最终返回到正常过程N02</w:t>
      </w:r>
    </w:p>
    <w:p>
      <w:pPr>
        <w:keepNext w:val="0"/>
        <w:keepLines w:val="0"/>
        <w:pageBreakBefore w:val="0"/>
        <w:widowControl w:val="0"/>
        <w:numPr>
          <w:ilvl w:val="0"/>
          <w:numId w:val="9"/>
        </w:numPr>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若引用了参考资料，应指明参考资料的简称与章节号或页码，以便复核与评审。</w:t>
      </w:r>
    </w:p>
    <w:p>
      <w:pPr>
        <w:pageBreakBefore w:val="0"/>
        <w:widowControl w:val="0"/>
        <w:numPr>
          <w:ilvl w:val="0"/>
          <w:numId w:val="0"/>
        </w:numPr>
        <w:kinsoku/>
        <w:wordWrap/>
        <w:overflowPunct/>
        <w:topLinePunct w:val="0"/>
        <w:autoSpaceDE/>
        <w:autoSpaceDN/>
        <w:bidi w:val="0"/>
        <w:adjustRightInd/>
        <w:snapToGrid/>
        <w:spacing w:line="360" w:lineRule="auto"/>
        <w:ind w:left="11" w:leftChars="0" w:right="0" w:rightChars="0"/>
        <w:textAlignment w:val="auto"/>
        <w:rPr>
          <w:rFonts w:ascii="Arial" w:hAnsi="Arial" w:cs="Arial"/>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8" w:name="_Toc25790"/>
      <w:bookmarkStart w:id="39" w:name="_Toc26045"/>
      <w:bookmarkStart w:id="40" w:name="_Toc10993"/>
      <w:bookmarkStart w:id="41" w:name="_Toc5709"/>
      <w:r>
        <w:rPr>
          <w:rFonts w:hint="eastAsia" w:ascii="黑体" w:hAnsi="黑体" w:eastAsia="黑体" w:cs="黑体"/>
          <w:szCs w:val="22"/>
          <w:lang w:val="en-US" w:eastAsia="zh-CN"/>
        </w:rPr>
        <w:t>2.关键业务流程</w:t>
      </w:r>
      <w:bookmarkEnd w:id="38"/>
      <w:bookmarkEnd w:id="39"/>
      <w:bookmarkEnd w:id="40"/>
      <w:bookmarkEnd w:id="41"/>
    </w:p>
    <w:p>
      <w:pPr>
        <w:numPr>
          <w:ilvl w:val="0"/>
          <w:numId w:val="0"/>
        </w:numPr>
        <w:tabs>
          <w:tab w:val="left" w:pos="2245"/>
        </w:tabs>
        <w:ind w:firstLine="420" w:firstLineChars="200"/>
        <w:rPr>
          <w:rFonts w:hint="eastAsia" w:ascii="黑体" w:hAnsi="黑体" w:eastAsia="黑体" w:cs="黑体"/>
          <w:szCs w:val="22"/>
          <w:lang w:val="en-US" w:eastAsia="zh-CN"/>
        </w:rPr>
      </w:pPr>
      <w:r>
        <w:rPr>
          <w:rFonts w:hint="eastAsia" w:ascii="黑体" w:hAnsi="黑体" w:eastAsia="黑体" w:cs="黑体"/>
          <w:sz w:val="21"/>
          <w:szCs w:val="21"/>
          <w:lang w:val="en-US" w:eastAsia="zh-CN"/>
        </w:rPr>
        <w:t>无。</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42" w:name="_Toc14962"/>
      <w:bookmarkStart w:id="43" w:name="_Toc16460"/>
      <w:bookmarkStart w:id="44" w:name="_Toc2273"/>
      <w:bookmarkStart w:id="45" w:name="_Toc27684"/>
      <w:bookmarkStart w:id="46" w:name="_Toc13346"/>
      <w:r>
        <w:rPr>
          <w:rFonts w:hint="eastAsia" w:ascii="黑体" w:hAnsi="黑体" w:eastAsia="黑体" w:cs="黑体"/>
          <w:szCs w:val="22"/>
          <w:lang w:val="en-US" w:eastAsia="zh-CN"/>
        </w:rPr>
        <w:t>3.具体需求内容</w:t>
      </w:r>
      <w:bookmarkEnd w:id="42"/>
      <w:bookmarkEnd w:id="43"/>
      <w:bookmarkEnd w:id="44"/>
      <w:bookmarkEnd w:id="45"/>
      <w:bookmarkEnd w:id="46"/>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7" w:name="_Toc22302"/>
      <w:bookmarkStart w:id="48" w:name="_Toc11887"/>
      <w:bookmarkStart w:id="49" w:name="_Toc12815"/>
      <w:bookmarkStart w:id="50" w:name="_Toc2749"/>
      <w:bookmarkStart w:id="51" w:name="_Toc26890"/>
      <w:r>
        <w:rPr>
          <w:rFonts w:hint="eastAsia" w:ascii="黑体" w:hAnsi="黑体" w:eastAsia="黑体" w:cs="黑体"/>
          <w:szCs w:val="22"/>
          <w:lang w:val="en-US" w:eastAsia="zh-CN"/>
        </w:rPr>
        <w:t>3.1总体功能点</w:t>
      </w:r>
      <w:bookmarkEnd w:id="47"/>
      <w:bookmarkEnd w:id="48"/>
      <w:bookmarkEnd w:id="49"/>
      <w:bookmarkEnd w:id="50"/>
      <w:bookmarkEnd w:id="51"/>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szCs w:val="22"/>
          <w:lang w:val="en-US" w:eastAsia="zh-CN"/>
        </w:rPr>
      </w:pPr>
      <w:r>
        <w:rPr>
          <w:rFonts w:hint="eastAsia"/>
          <w:szCs w:val="22"/>
          <w:lang w:val="en-US" w:eastAsia="zh-CN"/>
        </w:rPr>
        <w:drawing>
          <wp:inline distT="0" distB="0" distL="114300" distR="114300">
            <wp:extent cx="5290185" cy="3960495"/>
            <wp:effectExtent l="0" t="0" r="5715" b="1905"/>
            <wp:docPr id="4" name="图片 4" descr="E:\工作夹\AKE\2017\-产品\思维导图\MPGS\MPGS V2.4.0功能点.pngMPGS V2.4.0功能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E:\工作夹\AKE\2017\-产品\思维导图\MPGS\MPGS V2.4.0功能点.pngMPGS V2.4.0功能点"/>
                    <pic:cNvPicPr>
                      <a:picLocks noChangeAspect="1"/>
                    </pic:cNvPicPr>
                  </pic:nvPicPr>
                  <pic:blipFill>
                    <a:blip r:embed="rId5"/>
                    <a:srcRect/>
                    <a:stretch>
                      <a:fillRect/>
                    </a:stretch>
                  </pic:blipFill>
                  <pic:spPr>
                    <a:xfrm>
                      <a:off x="0" y="0"/>
                      <a:ext cx="5290185" cy="3960495"/>
                    </a:xfrm>
                    <a:prstGeom prst="rect">
                      <a:avLst/>
                    </a:prstGeom>
                  </pic:spPr>
                </pic:pic>
              </a:graphicData>
            </a:graphic>
          </wp:inline>
        </w:drawing>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2" w:name="_Toc8745"/>
      <w:bookmarkStart w:id="53" w:name="_Toc3212"/>
      <w:bookmarkStart w:id="54" w:name="_Toc31326"/>
      <w:bookmarkStart w:id="55" w:name="_Toc28457"/>
      <w:r>
        <w:rPr>
          <w:rFonts w:hint="eastAsia" w:ascii="黑体" w:hAnsi="黑体" w:eastAsia="黑体" w:cs="黑体"/>
          <w:szCs w:val="22"/>
          <w:lang w:val="en-US" w:eastAsia="zh-CN"/>
        </w:rPr>
        <w:t>3.2功能点描述</w:t>
      </w:r>
      <w:bookmarkEnd w:id="52"/>
      <w:bookmarkEnd w:id="53"/>
      <w:bookmarkEnd w:id="54"/>
      <w:bookmarkEnd w:id="55"/>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56" w:name="_Toc28219"/>
      <w:bookmarkStart w:id="57" w:name="_Toc4849"/>
      <w:bookmarkStart w:id="58" w:name="_Toc516"/>
      <w:bookmarkStart w:id="59" w:name="_Toc18762"/>
      <w:r>
        <w:rPr>
          <w:rFonts w:hint="eastAsia" w:ascii="黑体" w:hAnsi="黑体" w:eastAsia="黑体" w:cs="黑体"/>
          <w:sz w:val="30"/>
          <w:szCs w:val="30"/>
          <w:lang w:val="en-US" w:eastAsia="zh-CN"/>
        </w:rPr>
        <w:t>3.2.1</w:t>
      </w:r>
      <w:bookmarkEnd w:id="56"/>
      <w:bookmarkEnd w:id="57"/>
      <w:bookmarkEnd w:id="58"/>
      <w:r>
        <w:rPr>
          <w:rFonts w:hint="eastAsia" w:ascii="黑体" w:hAnsi="黑体" w:eastAsia="黑体" w:cs="黑体"/>
          <w:sz w:val="30"/>
          <w:szCs w:val="30"/>
          <w:lang w:val="en-US" w:eastAsia="zh-CN"/>
        </w:rPr>
        <w:t>地图编辑器增加不同类型车位元素</w:t>
      </w:r>
      <w:bookmarkEnd w:id="5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0" w:name="_Toc1291"/>
      <w:bookmarkStart w:id="61" w:name="_Toc7866"/>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bookmarkEnd w:id="60"/>
      <w:bookmarkEnd w:id="6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在地图编辑器元素管理中增加不同类型的车位元素，包括临时车位、固定车位、租用车位、免费车位和预定车位五种；增加对元素增加右键复制粘贴功能。</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62" w:name="_Toc25490"/>
      <w:bookmarkStart w:id="63" w:name="_Toc22052"/>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bookmarkEnd w:id="62"/>
      <w:bookmarkEnd w:id="6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2995" cy="4946015"/>
            <wp:effectExtent l="0" t="0" r="1905" b="6985"/>
            <wp:docPr id="2" name="图片 2" descr="1_1地图编辑器增加不同类型车位元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_1地图编辑器增加不同类型车位元素"/>
                    <pic:cNvPicPr>
                      <a:picLocks noChangeAspect="1"/>
                    </pic:cNvPicPr>
                  </pic:nvPicPr>
                  <pic:blipFill>
                    <a:blip r:embed="rId6"/>
                    <a:stretch>
                      <a:fillRect/>
                    </a:stretch>
                  </pic:blipFill>
                  <pic:spPr>
                    <a:xfrm>
                      <a:off x="0" y="0"/>
                      <a:ext cx="6182995" cy="494601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1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对地图编辑器中的车位元素进行类型区分，增加临时车位、固定车位、租用车位、免费车位和预订车位这五种车位类型。不同车位类型以不同颜色进行区分，可新增不同类型的车位元素。</w:t>
      </w:r>
    </w:p>
    <w:p>
      <w:pPr>
        <w:pageBreakBefore w:val="0"/>
        <w:widowControl w:val="0"/>
        <w:numPr>
          <w:ilvl w:val="0"/>
          <w:numId w:val="1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鼠标移动到车位图标上时显示该车位图标的元素名称，如下图，鼠标移入到临时车位图标时，显示元素名称：临时车位。</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（3）增加复制粘贴的右键功能键，选中某个车位元素单击右键，可复制粘贴该元素，复制粘贴生成的元素编号在原来的元素尾号上加1。如原车位元素编号为CW，那么复制粘贴的车位元素编号为CW1。</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（4）复制粘贴的元素跟原来的元素除了元素编号外，其他配置均一致。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drawing>
          <wp:inline distT="0" distB="0" distL="114300" distR="114300">
            <wp:extent cx="6181725" cy="2976880"/>
            <wp:effectExtent l="0" t="0" r="3175" b="762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7"/>
                    <a:stretch>
                      <a:fillRect/>
                    </a:stretch>
                  </pic:blipFill>
                  <pic:spPr>
                    <a:xfrm>
                      <a:off x="0" y="0"/>
                      <a:ext cx="6181725" cy="2976880"/>
                    </a:xfrm>
                    <a:prstGeom prst="rect">
                      <a:avLst/>
                    </a:prstGeom>
                    <a:noFill/>
                    <a:ln w="9525">
                      <a:noFill/>
                    </a:ln>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4" w:name="_Toc30868"/>
      <w:bookmarkStart w:id="65" w:name="_Toc7158"/>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bookmarkEnd w:id="64"/>
      <w:bookmarkEnd w:id="6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6" w:name="_Toc27426"/>
      <w:bookmarkStart w:id="67" w:name="_Toc3228"/>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bookmarkEnd w:id="66"/>
      <w:bookmarkEnd w:id="6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numPr>
          <w:ilvl w:val="0"/>
          <w:numId w:val="0"/>
        </w:numPr>
        <w:tabs>
          <w:tab w:val="left" w:pos="2245"/>
        </w:tabs>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8" w:name="_Toc27660"/>
      <w:bookmarkStart w:id="69" w:name="_Toc10793"/>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bookmarkEnd w:id="68"/>
      <w:bookmarkEnd w:id="6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70" w:name="_Toc4742"/>
      <w:r>
        <w:rPr>
          <w:rFonts w:hint="eastAsia" w:ascii="黑体" w:hAnsi="黑体" w:eastAsia="黑体" w:cs="黑体"/>
          <w:sz w:val="30"/>
          <w:szCs w:val="30"/>
          <w:lang w:val="en-US" w:eastAsia="zh-CN"/>
        </w:rPr>
        <w:t>3.2.2 MPGS地图配置修改</w:t>
      </w:r>
      <w:bookmarkEnd w:id="7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1" w:name="_Toc1511"/>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bookmarkEnd w:id="7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对MPGS系统管理-地图配置模块重新定义规划，用户可根据需要新增地图元素类型，并通过与系统元素类型进行挂钩联系，使得在地图上添加的元素不仅可显示，还可进行实际的业务处理。</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2" w:name="_Toc6090"/>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bookmarkEnd w:id="7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drawing>
          <wp:inline distT="0" distB="0" distL="114300" distR="114300">
            <wp:extent cx="6178550" cy="2845435"/>
            <wp:effectExtent l="0" t="0" r="6350" b="12065"/>
            <wp:docPr id="3" name="图片 3" descr="E:\工作夹\AKE\2017\-产品\原型导出图片\MPGS\V2.4.0\2_1mpgs后台增加地图对应关系（交互）.png2_1mpgs后台增加地图对应关系（交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工作夹\AKE\2017\-产品\原型导出图片\MPGS\V2.4.0\2_1mpgs后台增加地图对应关系（交互）.png2_1mpgs后台增加地图对应关系（交互）"/>
                    <pic:cNvPicPr>
                      <a:picLocks noChangeAspect="1"/>
                    </pic:cNvPicPr>
                  </pic:nvPicPr>
                  <pic:blipFill>
                    <a:blip r:embed="rId8"/>
                    <a:srcRect/>
                    <a:stretch>
                      <a:fillRect/>
                    </a:stretch>
                  </pic:blipFill>
                  <pic:spPr>
                    <a:xfrm>
                      <a:off x="0" y="0"/>
                      <a:ext cx="6178550" cy="284543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调整地图配置列表，列表字段包括地图类型名称、地图类型编码、对应系统类型名称、对应系统类型编码、对应状态及属性和操作列。</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对应状态及属性显示“查看”，点击弹出弹窗可查看详细的系统状态名称、编码和系统属性名称、编码。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drawing>
          <wp:inline distT="0" distB="0" distL="114300" distR="114300">
            <wp:extent cx="6125845" cy="2839085"/>
            <wp:effectExtent l="0" t="0" r="8255" b="5715"/>
            <wp:docPr id="6" name="图片 6" descr="E:\工作夹\AKE\2017\-产品\原型导出图片\MPGS\V2.4.0\1_2对应属性.png1_2对应属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工作夹\AKE\2017\-产品\原型导出图片\MPGS\V2.4.0\1_2对应属性.png1_2对应属性"/>
                    <pic:cNvPicPr>
                      <a:picLocks noChangeAspect="1"/>
                    </pic:cNvPicPr>
                  </pic:nvPicPr>
                  <pic:blipFill>
                    <a:blip r:embed="rId9"/>
                    <a:srcRect/>
                    <a:stretch>
                      <a:fillRect/>
                    </a:stretch>
                  </pic:blipFill>
                  <pic:spPr>
                    <a:xfrm>
                      <a:off x="0" y="0"/>
                      <a:ext cx="6125845" cy="283908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4"/>
          <w:szCs w:val="24"/>
          <w:lang w:val="en-US" w:eastAsia="zh-CN"/>
        </w:rPr>
      </w:pP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新增元素类型，用户填写地图类型名称及地图类型编码，并选择对应的系统类型，下方显示该类型对应的系统状态及属性的名称编码关系表。例如选择CW-车位类型时，将会在下方显示对应车位类型的系统状态名称编码和系统属性名称编码。</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用户选择了对应系统类型后，地图的属性、状态名称和编码根据系统属性、状态的名称和编码自动带入。新建元素类型成功后可在对应属性、对应状态中查看地图属性、状态名称和编码。</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操作列-编辑：点击弹出编辑弹窗，用户可修改地图类型名称、编码和对应系统类型。确认修改操作后将修改后的对应关系为准，地图编辑器上的元素需作同步修改才能对该元素作业务处理。</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只有当新增的地图元素的类型、属性、状态均与系统类型、属性和状态一一对应时，用户在地图编辑器上使用该元素，系统才会对该元素做相应的业务处理。</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新增的地图类型名称必须唯一、不可重复。</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drawing>
          <wp:inline distT="0" distB="0" distL="114300" distR="114300">
            <wp:extent cx="6090285" cy="3317240"/>
            <wp:effectExtent l="0" t="0" r="5715" b="10160"/>
            <wp:docPr id="24" name="图片 24" descr="E:\工作夹\AKE\2017\-产品\原型导出图片\MPGS\V2.4.0\2_2内页展示.png2_2内页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E:\工作夹\AKE\2017\-产品\原型导出图片\MPGS\V2.4.0\2_2内页展示.png2_2内页展示"/>
                    <pic:cNvPicPr>
                      <a:picLocks noChangeAspect="1"/>
                    </pic:cNvPicPr>
                  </pic:nvPicPr>
                  <pic:blipFill>
                    <a:blip r:embed="rId10"/>
                    <a:srcRect/>
                    <a:stretch>
                      <a:fillRect/>
                    </a:stretch>
                  </pic:blipFill>
                  <pic:spPr>
                    <a:xfrm>
                      <a:off x="0" y="0"/>
                      <a:ext cx="6090285" cy="331724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4"/>
          <w:szCs w:val="24"/>
          <w:lang w:val="en-US" w:eastAsia="zh-CN"/>
        </w:rPr>
      </w:pP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增加“地图配置关系表”按钮，点击弹出地图配置关系表弹窗，方便用户查看</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drawing>
          <wp:inline distT="0" distB="0" distL="114300" distR="114300">
            <wp:extent cx="6153150" cy="2855595"/>
            <wp:effectExtent l="0" t="0" r="6350" b="1905"/>
            <wp:docPr id="8" name="图片 8" descr="E:\工作夹\AKE\2017\-产品\原型导出图片\MPGS\V2.4.0\1_2地图配置关系表.png1_2地图配置关系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工作夹\AKE\2017\-产品\原型导出图片\MPGS\V2.4.0\1_2地图配置关系表.png1_2地图配置关系表"/>
                    <pic:cNvPicPr>
                      <a:picLocks noChangeAspect="1"/>
                    </pic:cNvPicPr>
                  </pic:nvPicPr>
                  <pic:blipFill>
                    <a:blip r:embed="rId11"/>
                    <a:srcRect/>
                    <a:stretch>
                      <a:fillRect/>
                    </a:stretch>
                  </pic:blipFill>
                  <pic:spPr>
                    <a:xfrm>
                      <a:off x="0" y="0"/>
                      <a:ext cx="6153150" cy="285559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object>
          <v:shape id="_x0000_i1025" o:spt="75" type="#_x0000_t75" style="height:65.5pt;width:72.5pt;" o:ole="t" filled="f" o:preferrelative="t" stroked="f" coordsize="21600,21600">
            <v:path/>
            <v:fill on="f" focussize="0,0"/>
            <v:stroke on="f"/>
            <v:imagedata r:id="rId13" o:title=""/>
            <o:lock v:ext="edit" aspectratio="t"/>
            <w10:wrap type="none"/>
            <w10:anchorlock/>
          </v:shape>
          <o:OLEObject Type="Embed" ProgID="Excel.Sheet.8" ShapeID="_x0000_i1025" DrawAspect="Icon" ObjectID="_1468075725" r:id="rId12">
            <o:LockedField>false</o:LockedField>
          </o:OLEObject>
        </w:objec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4"/>
          <w:szCs w:val="24"/>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3" w:name="_Toc31930"/>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bookmarkEnd w:id="7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4" w:name="_Toc8723"/>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bookmarkEnd w:id="7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5" w:name="_Toc2498"/>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bookmarkEnd w:id="75"/>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76" w:name="_Toc3830"/>
      <w:r>
        <w:rPr>
          <w:rFonts w:hint="eastAsia" w:ascii="黑体" w:hAnsi="黑体" w:eastAsia="黑体" w:cs="黑体"/>
          <w:sz w:val="30"/>
          <w:szCs w:val="30"/>
          <w:lang w:val="en-US" w:eastAsia="zh-CN"/>
        </w:rPr>
        <w:t>3.2.3 MPGS增加蒙版配置引导</w:t>
      </w:r>
      <w:bookmarkEnd w:id="76"/>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7" w:name="_Toc16451"/>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bookmarkEnd w:id="7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用户初次使用系统时弹出提示配置弹窗，引导用户对系统参数和中间件进行配置，用户可选择立即开始配置，也可以稍后再配置。</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8" w:name="_Toc18573"/>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bookmarkEnd w:id="78"/>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b/>
          <w:bCs/>
          <w:sz w:val="24"/>
          <w:szCs w:val="24"/>
          <w:lang w:val="en-US" w:eastAsia="zh-CN"/>
        </w:rPr>
      </w:pPr>
      <w:r>
        <w:rPr>
          <w:rFonts w:hint="eastAsia" w:ascii="黑体" w:hAnsi="黑体" w:eastAsia="黑体" w:cs="黑体"/>
          <w:sz w:val="21"/>
          <w:szCs w:val="21"/>
          <w:lang w:val="en-US" w:eastAsia="zh-CN"/>
        </w:rPr>
        <w:drawing>
          <wp:inline distT="0" distB="0" distL="114300" distR="114300">
            <wp:extent cx="6186805" cy="2830830"/>
            <wp:effectExtent l="0" t="0" r="10795" b="1270"/>
            <wp:docPr id="11" name="图片 11" descr="E:\工作夹\AKE\2017\-产品\原型导出图片\MPGS\V2.4.0\3_1配置引导页.png3_1配置引导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E:\工作夹\AKE\2017\-产品\原型导出图片\MPGS\V2.4.0\3_1配置引导页.png3_1配置引导页"/>
                    <pic:cNvPicPr>
                      <a:picLocks noChangeAspect="1"/>
                    </pic:cNvPicPr>
                  </pic:nvPicPr>
                  <pic:blipFill>
                    <a:blip r:embed="rId14"/>
                    <a:srcRect/>
                    <a:stretch>
                      <a:fillRect/>
                    </a:stretch>
                  </pic:blipFill>
                  <pic:spPr>
                    <a:xfrm>
                      <a:off x="0" y="0"/>
                      <a:ext cx="6186805" cy="283083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sz w:val="21"/>
          <w:szCs w:val="21"/>
          <w:lang w:val="en-US" w:eastAsia="zh-CN"/>
        </w:rPr>
      </w:pPr>
      <w:r>
        <w:rPr>
          <w:rFonts w:hint="eastAsia" w:ascii="黑体" w:hAnsi="黑体" w:eastAsia="黑体" w:cs="黑体"/>
          <w:b/>
          <w:bCs/>
          <w:sz w:val="24"/>
          <w:szCs w:val="24"/>
          <w:lang w:val="en-US" w:eastAsia="zh-CN"/>
        </w:rPr>
        <w:t>业务说明：</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用户初次使用系统时将弹出提示配置弹窗，提示用户可以直接开始进入配置，也可稍后在车场管理-参数配置中进行配置。</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用户点击“开始配置”将跳转至参数配置页面，每个配置项都有带有释义，点击问号弹出释义弹窗，确认操作将保存并应用当前编辑的操作，取消则取消当前操作。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3630" cy="2588260"/>
            <wp:effectExtent l="0" t="0" r="1270" b="2540"/>
            <wp:docPr id="29" name="图片 29" descr="E:\工作夹\AKE\2017\-产品\原型导出图片\MPGS\V2.4.0\3_2参数配置页面修改.png3_2参数配置页面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E:\工作夹\AKE\2017\-产品\原型导出图片\MPGS\V2.4.0\3_2参数配置页面修改.png3_2参数配置页面修改"/>
                    <pic:cNvPicPr>
                      <a:picLocks noChangeAspect="1"/>
                    </pic:cNvPicPr>
                  </pic:nvPicPr>
                  <pic:blipFill>
                    <a:blip r:embed="rId15"/>
                    <a:srcRect/>
                    <a:stretch>
                      <a:fillRect/>
                    </a:stretch>
                  </pic:blipFill>
                  <pic:spPr>
                    <a:xfrm>
                      <a:off x="0" y="0"/>
                      <a:ext cx="6183630" cy="25882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4265" cy="7446645"/>
            <wp:effectExtent l="0" t="0" r="635" b="8255"/>
            <wp:docPr id="5" name="图片 5" descr="E:\工作夹\AKE\2017\-产品\原型导出图片\MPGS\V2.4.0\参数配置_state1.png参数配置_stat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工作夹\AKE\2017\-产品\原型导出图片\MPGS\V2.4.0\参数配置_state1.png参数配置_state1"/>
                    <pic:cNvPicPr>
                      <a:picLocks noChangeAspect="1"/>
                    </pic:cNvPicPr>
                  </pic:nvPicPr>
                  <pic:blipFill>
                    <a:blip r:embed="rId16"/>
                    <a:srcRect/>
                    <a:stretch>
                      <a:fillRect/>
                    </a:stretch>
                  </pic:blipFill>
                  <pic:spPr>
                    <a:xfrm>
                      <a:off x="0" y="0"/>
                      <a:ext cx="6184265" cy="7446645"/>
                    </a:xfrm>
                    <a:prstGeom prst="rect">
                      <a:avLst/>
                    </a:prstGeom>
                  </pic:spPr>
                </pic:pic>
              </a:graphicData>
            </a:graphic>
          </wp:inline>
        </w:drawing>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当前系统语言，默认为0；</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kern w:val="2"/>
          <w:sz w:val="21"/>
          <w:szCs w:val="21"/>
          <w:lang w:val="en-US" w:eastAsia="zh-CN" w:bidi="ar-SA"/>
        </w:rPr>
        <w:t>此项用于设置系统语言；0-简体中文，1-繁体中文，2-英文。</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车牌图片和历史记录的保存时间，默认保存7天；</w:t>
      </w:r>
      <w:r>
        <w:rPr>
          <w:rFonts w:hint="eastAsia" w:ascii="黑体" w:hAnsi="黑体" w:eastAsia="黑体" w:cs="黑体"/>
          <w:color w:val="FF0000"/>
          <w:sz w:val="21"/>
          <w:szCs w:val="21"/>
          <w:lang w:val="en-US" w:eastAsia="zh-CN"/>
        </w:rPr>
        <w:t>（新增）</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黑体" w:hAnsi="黑体" w:eastAsia="黑体" w:cs="黑体"/>
          <w:color w:val="FF0000"/>
          <w:sz w:val="21"/>
          <w:szCs w:val="21"/>
          <w:lang w:val="en-US" w:eastAsia="zh-CN"/>
        </w:rPr>
      </w:pPr>
      <w:r>
        <w:rPr>
          <w:rFonts w:hint="eastAsia" w:ascii="黑体" w:hAnsi="黑体" w:eastAsia="黑体" w:cs="黑体"/>
          <w:color w:val="FF0000"/>
          <w:sz w:val="21"/>
          <w:szCs w:val="21"/>
          <w:lang w:val="en-US" w:eastAsia="zh-CN"/>
        </w:rPr>
        <w:t xml:space="preserve">    </w:t>
      </w:r>
      <w:r>
        <w:rPr>
          <w:rFonts w:hint="eastAsia" w:ascii="黑体" w:hAnsi="黑体" w:eastAsia="黑体" w:cs="黑体"/>
          <w:color w:val="535353" w:themeColor="accent3" w:themeShade="80"/>
          <w:sz w:val="21"/>
          <w:szCs w:val="21"/>
          <w:lang w:val="en-US" w:eastAsia="zh-CN"/>
        </w:rPr>
        <w:t>点击问号的弹窗说明：保存时间请根据硬盘大小和实际业务数量来设定。</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系统超时时间：默认超时时间为720，即12小时后超时；</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kern w:val="2"/>
          <w:sz w:val="21"/>
          <w:szCs w:val="21"/>
          <w:lang w:val="en-US" w:eastAsia="zh-CN" w:bidi="ar-SA"/>
        </w:rPr>
        <w:t>系统超时将自动退出登录状态，需重新登录系统；设置为0，默认系统不超时。</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停车场是否支持跨层寻车，默认开启，支持跨层寻车；</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（1）若开启此项设定，车主可获取缴费机与车辆不同楼层的寻车路线；</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（2）若关闭此项设定，则车主只能获取缴费机和车辆为同一层的寻车路线。</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停车场是否支持蓝牙寻车，默认关闭，即默认不支持蓝牙寻车。</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请根据车场实际情况设定此项配置。</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app指定UUID</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此项用于设定蓝牙动态反向寻车中app指定的UUID。</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蓝牙收集信号次数，默认3次</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（1）此项用于设定用户进行蓝牙寻车时收集蓝牙信号的次数；</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（2）蓝牙收集信号次数：用户打开微信进行蓝牙寻车时，将自动搜索附近的蓝牙信号。因未必能一次收集到蓝牙信号，故可以设定打开微信后收集蓝牙信号的次数，以确保在可收集范围内对蓝牙信号收集成功。</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微信首次搜索秒数，默认60秒</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（1）此项用于设定微信搜索蓝牙信号的等待时间。用户打开微信进行蓝牙寻车时，将自动搜索附近的蓝牙信号。若不设定等待时间，将一直处于搜索蓝牙信号状态。</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（2）当微信搜索蓝牙信号的时间超出所设定的搜索秒数（等待时间）后，将停止搜索并提示用户。</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一点停地址，默认https://wxydt.yidianting.xin/weixin</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此项用于设定蓝牙动态反向寻车的一点停地址。</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Beacon数据上报平台认证地址，默认https://wxydt.yidianting.xin/weixin</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此项用于设定蓝牙动态反向寻车的beacon数据上报平台认证地址。</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统计是否以车位数据为准，默认开启</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（1）若开启此项设定，将默认按车位的占用/空闲数据来统计剩余车位；</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（2）若关闭此项设定，且开启“统计X小时的在场剩余（时）”，将默认按X小时的在场剩余来统计剩余车位。</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统计X小时的在场剩余（时），默认24小时，默认关闭状态</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（1）若开启此项设定，将默认按X小时的在场剩余来统计剩余车位；如设为24小时，将统计当前时间往前24小时的剩余车位；</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（3）若关闭此项设定，且开启“统计是否以车位数据为准”，将默认按车位的占用/空闲数据来统计剩余车位。</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rPr>
          <w:rFonts w:hint="eastAsia" w:ascii="黑体" w:hAnsi="黑体" w:eastAsia="黑体" w:cs="黑体"/>
          <w:color w:val="FF0000"/>
          <w:sz w:val="24"/>
          <w:szCs w:val="24"/>
          <w:lang w:val="en-US" w:eastAsia="zh-CN"/>
        </w:rPr>
      </w:pPr>
      <w:r>
        <w:rPr>
          <w:rFonts w:hint="eastAsia" w:ascii="黑体" w:hAnsi="黑体" w:eastAsia="黑体" w:cs="黑体"/>
          <w:color w:val="FF0000"/>
          <w:sz w:val="24"/>
          <w:szCs w:val="24"/>
          <w:lang w:val="en-US" w:eastAsia="zh-CN"/>
        </w:rPr>
        <w:t>约束条件：</w:t>
      </w:r>
    </w:p>
    <w:p>
      <w:pPr>
        <w:pStyle w:val="11"/>
        <w:keepNext w:val="0"/>
        <w:keepLines w:val="0"/>
        <w:pageBreakBefore w:val="0"/>
        <w:widowControl/>
        <w:numPr>
          <w:ilvl w:val="0"/>
          <w:numId w:val="14"/>
        </w:numPr>
        <w:suppressLineNumbers w:val="0"/>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rPr>
          <w:rFonts w:hint="eastAsia" w:ascii="黑体" w:hAnsi="黑体" w:eastAsia="黑体" w:cs="黑体"/>
          <w:color w:val="FF0000"/>
          <w:sz w:val="24"/>
          <w:szCs w:val="24"/>
          <w:lang w:val="en-US" w:eastAsia="zh-CN"/>
        </w:rPr>
      </w:pPr>
      <w:r>
        <w:rPr>
          <w:rFonts w:hint="eastAsia" w:ascii="黑体" w:hAnsi="黑体" w:eastAsia="黑体" w:cs="黑体"/>
          <w:color w:val="FF0000"/>
          <w:sz w:val="24"/>
          <w:szCs w:val="24"/>
          <w:lang w:val="en-US" w:eastAsia="zh-CN"/>
        </w:rPr>
        <w:t>“统计是否以车位数据为准”和“统计X小时的在场剩余”两项设定为互斥关系；</w:t>
      </w:r>
    </w:p>
    <w:p>
      <w:pPr>
        <w:pStyle w:val="11"/>
        <w:keepNext w:val="0"/>
        <w:keepLines w:val="0"/>
        <w:pageBreakBefore w:val="0"/>
        <w:widowControl/>
        <w:numPr>
          <w:ilvl w:val="0"/>
          <w:numId w:val="14"/>
        </w:numPr>
        <w:suppressLineNumbers w:val="0"/>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rPr>
          <w:rFonts w:hint="eastAsia" w:ascii="黑体" w:hAnsi="黑体" w:eastAsia="黑体" w:cs="黑体"/>
          <w:color w:val="FF0000"/>
          <w:sz w:val="24"/>
          <w:szCs w:val="24"/>
          <w:lang w:val="en-US" w:eastAsia="zh-CN"/>
        </w:rPr>
      </w:pPr>
      <w:r>
        <w:rPr>
          <w:rFonts w:hint="eastAsia" w:ascii="黑体" w:hAnsi="黑体" w:eastAsia="黑体" w:cs="黑体"/>
          <w:color w:val="FF0000"/>
          <w:sz w:val="24"/>
          <w:szCs w:val="24"/>
          <w:lang w:val="en-US" w:eastAsia="zh-CN"/>
        </w:rPr>
        <w:t>若“统计X小时的在场剩余”处于开启状态，当用户开启“统计是否以车位数据为准”时，将自动关闭“统计X小时的在场剩余”；</w:t>
      </w:r>
    </w:p>
    <w:p>
      <w:pPr>
        <w:pStyle w:val="11"/>
        <w:keepNext w:val="0"/>
        <w:keepLines w:val="0"/>
        <w:pageBreakBefore w:val="0"/>
        <w:widowControl/>
        <w:numPr>
          <w:ilvl w:val="0"/>
          <w:numId w:val="14"/>
        </w:numPr>
        <w:suppressLineNumbers w:val="0"/>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rPr>
          <w:rFonts w:hint="eastAsia" w:ascii="黑体" w:hAnsi="黑体" w:eastAsia="黑体" w:cs="黑体"/>
          <w:color w:val="FF0000"/>
          <w:sz w:val="24"/>
          <w:szCs w:val="24"/>
          <w:lang w:val="en-US" w:eastAsia="zh-CN"/>
        </w:rPr>
      </w:pPr>
      <w:r>
        <w:rPr>
          <w:rFonts w:hint="eastAsia" w:ascii="黑体" w:hAnsi="黑体" w:eastAsia="黑体" w:cs="黑体"/>
          <w:color w:val="FF0000"/>
          <w:sz w:val="24"/>
          <w:szCs w:val="24"/>
          <w:lang w:val="en-US" w:eastAsia="zh-CN"/>
        </w:rPr>
        <w:t>若“统计是否以车位数据为准”处于开启状态，当用户开启“统计X小时的在场剩余”时，将自动关闭“统计是否以车位数据为准”；</w:t>
      </w:r>
    </w:p>
    <w:p>
      <w:pPr>
        <w:pStyle w:val="11"/>
        <w:keepNext w:val="0"/>
        <w:keepLines w:val="0"/>
        <w:pageBreakBefore w:val="0"/>
        <w:widowControl/>
        <w:numPr>
          <w:ilvl w:val="0"/>
          <w:numId w:val="14"/>
        </w:numPr>
        <w:suppressLineNumbers w:val="0"/>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rPr>
          <w:rFonts w:hint="eastAsia" w:ascii="黑体" w:hAnsi="黑体" w:eastAsia="黑体" w:cs="黑体"/>
          <w:color w:val="FF0000"/>
          <w:sz w:val="24"/>
          <w:szCs w:val="24"/>
          <w:lang w:val="en-US" w:eastAsia="zh-CN"/>
        </w:rPr>
      </w:pPr>
      <w:r>
        <w:rPr>
          <w:rFonts w:hint="eastAsia" w:ascii="黑体" w:hAnsi="黑体" w:eastAsia="黑体" w:cs="黑体"/>
          <w:color w:val="FF0000"/>
          <w:sz w:val="24"/>
          <w:szCs w:val="24"/>
          <w:lang w:val="en-US" w:eastAsia="zh-CN"/>
        </w:rPr>
        <w:t>若两项设定同时为关闭状态，系统默认采用“统计是否以车位数据为准”设定。</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车位的最短变更时限，默认开启，最短变更时限默认5秒；</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（1）此配置用于设定接受连续两次车位上报数据并作业务处理的最短相隔时间；</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default"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（2）若连续两次车位上报数据的时间小于设定值系统将对后一次上报数据不作业务处理；</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kern w:val="2"/>
          <w:sz w:val="21"/>
          <w:szCs w:val="21"/>
          <w:lang w:val="en-US" w:eastAsia="zh-CN" w:bidi="ar-SA"/>
        </w:rPr>
        <w:t>（3）若关闭此项设定，系统将对每条车位上报数据都进行业务处理。</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同车位在指定时间内相同车牌合并为一条记录，默认开启，指定时间默认为10分钟；</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（1）假如指定时间为T，A车在T1时刻进场停入B车位，在T2时刻再次上报A车停入B车位的数据，且T2-T1&lt;T，那么此时将A车判定为异常在场，进场时间默认为T1；</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default"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（2）当A车在T1时刻进场停入B车位，C车在T2时刻停入B车位，A车在T3时刻停入B车位，且T3-T1&lt;T，那么此时也将A车判定为异常在场，进场时间默认为T3；</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kern w:val="2"/>
          <w:sz w:val="21"/>
          <w:szCs w:val="21"/>
          <w:lang w:val="en-US" w:eastAsia="zh-CN" w:bidi="ar-SA"/>
        </w:rPr>
        <w:t>（3）若关闭此项设定，系统将直接对上报数据进行业务处理（不合并为同一条记录）。</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无牌车接受业务变化的最小次数，默认开启，最小次数默认1次。</w:t>
      </w:r>
      <w:r>
        <w:rPr>
          <w:rFonts w:hint="eastAsia" w:ascii="黑体" w:hAnsi="黑体" w:eastAsia="黑体" w:cs="黑体"/>
          <w:color w:val="FF0000"/>
          <w:sz w:val="21"/>
          <w:szCs w:val="21"/>
          <w:lang w:val="en-US" w:eastAsia="zh-CN"/>
        </w:rPr>
        <w:t>（因设置重复，去掉了“接受无牌车数据”一项设置）</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（1）无牌车指的是有车无牌的车辆数据；</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（2）同一车位只有当无牌车上报次数多于设定的最小次数时才会处理成在场记录；</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（3）若关闭此项设定，系统将不接受无牌车数据。</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接受车位变化的最小模糊阈值，默认开启，最小模糊阈值默认20；</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（1）当同一车位连续两次上报有车状态数据时，系统会比对数据计算出一个阈值，阈值越高，两次数据越可能为同一车牌；</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default"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（2）当系统计算的阈值小于设定阈值时才会对上报数据进行业务处理；</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kern w:val="2"/>
          <w:sz w:val="21"/>
          <w:szCs w:val="21"/>
          <w:lang w:val="en-US" w:eastAsia="zh-CN" w:bidi="ar-SA"/>
        </w:rPr>
        <w:t>（3）若关闭此项设定，系统将不对模糊阈值进行判断，直接对上报数据进行业务处理。</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车场模糊匹配阈值，默认开启，阈值默认为20；</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（1）车辆进场数据上报时，系统会对车辆与场内已有车辆进行比对，当系统计算的阈值超过设定的模糊匹配阈值时，系统会判定该车与已有车辆为同一辆车；</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default"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（2）进场时间靠前的数据将被认为异常在场；</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（3）若关闭此项设定，系统将不对模糊阈值进行判断，直接对上报数据进行业务处理。</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区域模糊匹配阈值，默认开启，阈值默认为20。</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（1）车辆进场数据上报时，系统会对车辆与场内已有车辆进行比对，当系统计算的阈值超过设定的模糊匹配阈值时，系统会判定该车与已有车辆为同一辆车；进场时间靠前的数据将被认为异常在场；</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（2）若关闭此项设定，系统将不对模糊阈值进行判断，直接对上报数据进行业务处理。</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rPr>
          <w:rFonts w:hint="eastAsia" w:ascii="黑体" w:hAnsi="黑体" w:eastAsia="黑体" w:cs="黑体"/>
          <w:color w:val="535353" w:themeColor="accent3" w:themeShade="80"/>
          <w:sz w:val="21"/>
          <w:szCs w:val="21"/>
          <w:lang w:val="en-US" w:eastAsia="zh-CN"/>
        </w:rPr>
      </w:pP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业务变化接受第三方的进场数据，默认开启；</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（1）若开启此项设定，将对第三方接口上报的进场数据进行业务采用；</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（2）若关闭此项设定，则不对第三方接口上报的进场数据进行业务采用。</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业务变化接受第三方的离场数据，默认开启。</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（1）若开启此项设定，将对第三方接口上报的离场数据进行业务采用；</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default"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（2）若关闭此项设定，则不对第三方接口上报的离场数据进行业务采用。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整个停车场进出接受车位进出变化，默认开启；</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（1）若开启此项设定，停车场统计数据时接受车位的数据变化；</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（2）当无停车场检测设备时，建议开启此开关。</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整个停车场进出接受区域进出变化，默认开启；</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（1）若开启此项设定，停车场统计数据时接受区域的数据变化；</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（2）当无停车场检测设备时，建议开启此开关。</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整个停车场进出接受接口进出变化，默认开启。</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（1）若开启此项设定，停车场统计数据时接受第三方接口上报的数据变化；</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default"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（2）当无停车场检测设备时，建议开启此开关。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寻车H5页面显示版权说明，默认开启；</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（1）若开启此项设定，寻车H5页面将显示版权说明；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（2）若关闭此项设定，则不在寻车H5页面显示版权说明。</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采集信号强度大于X时为采信，默认开启，默认值为-75。</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（1）设定采信数据时的信号强度，当采集信号强度大于设定值时，才会对数据进行采信；</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（2）若关闭此项设定，系统将不对信号强度进行判定，直接对数据进行采信处理。</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VEMS地址，默认留空；</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接收VEMS上报的进场图片，需要访问VEMS系统的地址。此处填入VEMS系统的地址。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用户完成参数配置后，可直接点击“中间件配置”跳转至后台管理-中间件界面对中间件进行配置。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2360" cy="2849245"/>
            <wp:effectExtent l="0" t="0" r="2540" b="8255"/>
            <wp:docPr id="12" name="图片 12" descr="E:\工作夹\AKE\2017\-产品\原型导出图片\MPGS\V2.4.0\3_3中间件配置页面.png3_3中间件配置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工作夹\AKE\2017\-产品\原型导出图片\MPGS\V2.4.0\3_3中间件配置页面.png3_3中间件配置页面"/>
                    <pic:cNvPicPr>
                      <a:picLocks noChangeAspect="1"/>
                    </pic:cNvPicPr>
                  </pic:nvPicPr>
                  <pic:blipFill>
                    <a:blip r:embed="rId17"/>
                    <a:srcRect/>
                    <a:stretch>
                      <a:fillRect/>
                    </a:stretch>
                  </pic:blipFill>
                  <pic:spPr>
                    <a:xfrm>
                      <a:off x="0" y="0"/>
                      <a:ext cx="6182360" cy="28492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9" w:name="_Toc32337"/>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bookmarkEnd w:id="7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0" w:name="_Toc18316"/>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bookmarkEnd w:id="8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1" w:name="_Toc26870"/>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bookmarkEnd w:id="81"/>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82" w:name="_Toc5979"/>
      <w:r>
        <w:rPr>
          <w:rFonts w:hint="eastAsia" w:ascii="黑体" w:hAnsi="黑体" w:eastAsia="黑体" w:cs="黑体"/>
          <w:sz w:val="30"/>
          <w:szCs w:val="30"/>
          <w:lang w:val="en-US" w:eastAsia="zh-CN"/>
        </w:rPr>
        <w:t>3.2.4 增加车位上报流水接口</w:t>
      </w:r>
      <w:bookmarkEnd w:id="82"/>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3" w:name="_Toc30323"/>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bookmarkEnd w:id="8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（1）增加车位上报流水对外接口；</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（2）车位上报流水包含以下字段：车位编号、车牌照片、车牌号码、上报时间、业务类型和业务采用。</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4" w:name="_Toc29637"/>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bookmarkEnd w:id="84"/>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5" w:name="_Toc24498"/>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bookmarkEnd w:id="8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6" w:name="_Toc5421"/>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bookmarkEnd w:id="8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7" w:name="_Toc23078"/>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bookmarkEnd w:id="87"/>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88" w:name="_Toc10096"/>
      <w:r>
        <w:rPr>
          <w:rFonts w:hint="eastAsia" w:ascii="黑体" w:hAnsi="黑体" w:eastAsia="黑体" w:cs="黑体"/>
          <w:sz w:val="30"/>
          <w:szCs w:val="30"/>
          <w:lang w:val="en-US" w:eastAsia="zh-CN"/>
        </w:rPr>
        <w:t>3.2.5 地图编辑器单个元素右键增量更新</w:t>
      </w:r>
      <w:bookmarkEnd w:id="88"/>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9" w:name="_Toc17823"/>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bookmarkEnd w:id="8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存在的问题：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因为地图编辑器当前未实现增量更新，当在地图编辑器上传数据后，后台数据都会全部初始化，原来有车的车位可能会全部初始化成无车的状态，会造成数据不准确的问题。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解决方案：</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（1）用户可针对单个元素进行右键更新（上传单个元素的修改数据）；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（2）单个元素的更新为增量更新，不对系统进行初始化操作。</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0" w:name="_Toc2271"/>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bookmarkEnd w:id="9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drawing>
          <wp:inline distT="0" distB="0" distL="114300" distR="114300">
            <wp:extent cx="6180455" cy="2872105"/>
            <wp:effectExtent l="0" t="0" r="4445" b="10795"/>
            <wp:docPr id="31" name="图片 31" descr="5_地图编辑器单个元素右键增量更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5_地图编辑器单个元素右键增量更新"/>
                    <pic:cNvPicPr>
                      <a:picLocks noChangeAspect="1"/>
                    </pic:cNvPicPr>
                  </pic:nvPicPr>
                  <pic:blipFill>
                    <a:blip r:embed="rId18"/>
                    <a:stretch>
                      <a:fillRect/>
                    </a:stretch>
                  </pic:blipFill>
                  <pic:spPr>
                    <a:xfrm>
                      <a:off x="0" y="0"/>
                      <a:ext cx="6180455" cy="287210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（1）增加右键功能键“更新数据”；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（2）用户对单个元素进行编辑操作后，选中该元素，点击“更新数据”，对该元素的修改进行保存和更新数据；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（3）“更新数据”为增量更新，不对系统初始化，不影响的系统数据。</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1" w:name="_Toc5606"/>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bookmarkEnd w:id="9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2" w:name="_Toc6641"/>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bookmarkEnd w:id="9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3" w:name="_Toc15901"/>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bookmarkEnd w:id="93"/>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94" w:name="_Toc27552"/>
      <w:r>
        <w:rPr>
          <w:rFonts w:hint="eastAsia" w:ascii="黑体" w:hAnsi="黑体" w:eastAsia="黑体" w:cs="黑体"/>
          <w:sz w:val="30"/>
          <w:szCs w:val="30"/>
          <w:lang w:val="en-US" w:eastAsia="zh-CN"/>
        </w:rPr>
        <w:t>3.2.6 增加反向寻车导航路线图片接口</w:t>
      </w:r>
      <w:bookmarkEnd w:id="94"/>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5" w:name="_Toc21558"/>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bookmarkEnd w:id="9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（1）增加反向寻车导航路线图片对外接口；</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（2）为第三方嵌入MPGS 寻车h5页面提供静态寻车的路线图片。</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6" w:name="_Toc18826"/>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bookmarkEnd w:id="96"/>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7" w:name="_Toc5370"/>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bookmarkEnd w:id="9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8" w:name="_Toc18003"/>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bookmarkEnd w:id="9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9" w:name="_Toc30076"/>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bookmarkEnd w:id="99"/>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00" w:name="_Toc25561"/>
      <w:r>
        <w:rPr>
          <w:rFonts w:hint="eastAsia" w:ascii="黑体" w:hAnsi="黑体" w:eastAsia="黑体" w:cs="黑体"/>
          <w:sz w:val="30"/>
          <w:szCs w:val="30"/>
          <w:lang w:val="en-US" w:eastAsia="zh-CN"/>
        </w:rPr>
        <w:t>3.2.7 车位状态接口增加车位最后一张图片、时间查询和无牌车查询</w:t>
      </w:r>
      <w:bookmarkEnd w:id="10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1" w:name="_Toc5352"/>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bookmarkEnd w:id="10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（1）在车位状态接口增加车位最后一张图片、时间查询和无牌车查询的字段；</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2" w:name="_Toc32309"/>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bookmarkEnd w:id="102"/>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3" w:name="_Toc14865"/>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bookmarkEnd w:id="10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4" w:name="_Toc6050"/>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bookmarkEnd w:id="10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5" w:name="_Toc8750"/>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bookmarkEnd w:id="105"/>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06" w:name="_Toc21696"/>
      <w:r>
        <w:rPr>
          <w:rFonts w:hint="eastAsia" w:ascii="黑体" w:hAnsi="黑体" w:eastAsia="黑体" w:cs="黑体"/>
          <w:sz w:val="30"/>
          <w:szCs w:val="30"/>
          <w:lang w:val="en-US" w:eastAsia="zh-CN"/>
        </w:rPr>
        <w:t>3.2.8 增加支持查询引导屏的下发列表</w:t>
      </w:r>
      <w:bookmarkEnd w:id="106"/>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7" w:name="_Toc21145"/>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bookmarkEnd w:id="107"/>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在设备管理-屏管理的列表中增加“下发内容”字段，同步显示引导屏最后一次的下发内容（当前显示内容）。</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8" w:name="_Toc13263"/>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bookmarkEnd w:id="108"/>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6805" cy="2853055"/>
            <wp:effectExtent l="0" t="0" r="10795" b="4445"/>
            <wp:docPr id="18" name="图片 18" descr="7_增加支持查询引导屏的下发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7_增加支持查询引导屏的下发列表"/>
                    <pic:cNvPicPr>
                      <a:picLocks noChangeAspect="1"/>
                    </pic:cNvPicPr>
                  </pic:nvPicPr>
                  <pic:blipFill>
                    <a:blip r:embed="rId19"/>
                    <a:stretch>
                      <a:fillRect/>
                    </a:stretch>
                  </pic:blipFill>
                  <pic:spPr>
                    <a:xfrm>
                      <a:off x="0" y="0"/>
                      <a:ext cx="6186805" cy="285305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9" w:name="_Toc28061"/>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bookmarkEnd w:id="10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0" w:name="_Toc7888"/>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bookmarkEnd w:id="11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1" w:name="_Toc19088"/>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bookmarkEnd w:id="111"/>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12" w:name="_Toc14261"/>
      <w:r>
        <w:rPr>
          <w:rFonts w:hint="eastAsia" w:ascii="黑体" w:hAnsi="黑体" w:eastAsia="黑体" w:cs="黑体"/>
          <w:sz w:val="30"/>
          <w:szCs w:val="30"/>
          <w:lang w:val="en-US" w:eastAsia="zh-CN"/>
        </w:rPr>
        <w:t>3.2.9 寻车H5页面增加版权说明</w:t>
      </w:r>
      <w:bookmarkEnd w:id="112"/>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3" w:name="_Toc21446"/>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.1功能说明</w:t>
      </w:r>
      <w:bookmarkEnd w:id="11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（1）在MPGS寻车H5界面底部增加艾科智泊的版权说明；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（2）在MPGS后台可配置此版权说明是否显示。</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14" w:name="_Toc30469"/>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.2原型界面</w:t>
      </w:r>
      <w:bookmarkEnd w:id="11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（1）在寻车H5页面底部增加艾科智泊的版权说明；</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2312035" cy="4116070"/>
            <wp:effectExtent l="0" t="0" r="12065" b="11430"/>
            <wp:docPr id="19" name="图片 19" descr="8_1寻车h5页面增加版权说明，配置修改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8_1寻车h5页面增加版权说明，配置修改项"/>
                    <pic:cNvPicPr>
                      <a:picLocks noChangeAspect="1"/>
                    </pic:cNvPicPr>
                  </pic:nvPicPr>
                  <pic:blipFill>
                    <a:blip r:embed="rId20"/>
                    <a:stretch>
                      <a:fillRect/>
                    </a:stretch>
                  </pic:blipFill>
                  <pic:spPr>
                    <a:xfrm>
                      <a:off x="0" y="0"/>
                      <a:ext cx="2312035" cy="41160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（2）MPGS车场管理-参数配置增加寻车H5界面是否显示版权说明的配置，默认开启。</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8710" cy="2851785"/>
            <wp:effectExtent l="0" t="0" r="8890" b="5715"/>
            <wp:docPr id="20" name="图片 20" descr="8_2mpgs后台增加版权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8_2mpgs后台增加版权配置"/>
                    <pic:cNvPicPr>
                      <a:picLocks noChangeAspect="1"/>
                    </pic:cNvPicPr>
                  </pic:nvPicPr>
                  <pic:blipFill>
                    <a:blip r:embed="rId21"/>
                    <a:stretch>
                      <a:fillRect/>
                    </a:stretch>
                  </pic:blipFill>
                  <pic:spPr>
                    <a:xfrm>
                      <a:off x="0" y="0"/>
                      <a:ext cx="6188710" cy="285178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5" w:name="_Toc294"/>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bookmarkEnd w:id="11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6" w:name="_Toc14489"/>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bookmarkEnd w:id="11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7" w:name="_Toc15466"/>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bookmarkEnd w:id="117"/>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18" w:name="_Toc28520"/>
      <w:r>
        <w:rPr>
          <w:rFonts w:hint="eastAsia" w:ascii="黑体" w:hAnsi="黑体" w:eastAsia="黑体" w:cs="黑体"/>
          <w:sz w:val="30"/>
          <w:szCs w:val="30"/>
          <w:lang w:val="en-US" w:eastAsia="zh-CN"/>
        </w:rPr>
        <w:t>3.2.10 区域可以查询其所属车位列表信息</w:t>
      </w:r>
      <w:bookmarkEnd w:id="118"/>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9" w:name="_Toc9293"/>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.1功能说明</w:t>
      </w:r>
      <w:bookmarkEnd w:id="11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在车场管理-区域管理中增加可以查询某区域所属的详细车位列表信息</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0" w:name="_Toc16499"/>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.2原型界面</w:t>
      </w:r>
      <w:bookmarkEnd w:id="12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在车场管理-区域管理的操作列中增加“详情”按钮；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8710" cy="2851785"/>
            <wp:effectExtent l="0" t="0" r="8890" b="5715"/>
            <wp:docPr id="22" name="图片 22" descr="9_区域可以查询其包含车位列表信息（交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9_区域可以查询其包含车位列表信息（交互）"/>
                    <pic:cNvPicPr>
                      <a:picLocks noChangeAspect="1"/>
                    </pic:cNvPicPr>
                  </pic:nvPicPr>
                  <pic:blipFill>
                    <a:blip r:embed="rId22"/>
                    <a:stretch>
                      <a:fillRect/>
                    </a:stretch>
                  </pic:blipFill>
                  <pic:spPr>
                    <a:xfrm>
                      <a:off x="0" y="0"/>
                      <a:ext cx="6188710" cy="285178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点击“详情”按钮，弹出属于该区域的所有车位详情；</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（3）车位详情带搜索筛选框，可直接搜索指定的车位，并可查看车位所带的探测器的详情。</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bookmarkStart w:id="161" w:name="_GoBack"/>
      <w:r>
        <w:drawing>
          <wp:inline distT="0" distB="0" distL="114300" distR="114300">
            <wp:extent cx="6179185" cy="2881630"/>
            <wp:effectExtent l="0" t="0" r="5715" b="127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3"/>
                    <a:stretch>
                      <a:fillRect/>
                    </a:stretch>
                  </pic:blipFill>
                  <pic:spPr>
                    <a:xfrm>
                      <a:off x="0" y="0"/>
                      <a:ext cx="6179185" cy="2881630"/>
                    </a:xfrm>
                    <a:prstGeom prst="rect">
                      <a:avLst/>
                    </a:prstGeom>
                    <a:noFill/>
                    <a:ln w="9525">
                      <a:noFill/>
                    </a:ln>
                  </pic:spPr>
                </pic:pic>
              </a:graphicData>
            </a:graphic>
          </wp:inline>
        </w:drawing>
      </w:r>
      <w:bookmarkEnd w:id="16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1" w:name="_Toc3634"/>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.3流程图</w:t>
      </w:r>
      <w:bookmarkEnd w:id="12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2" w:name="_Toc1617"/>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.4功能按钮说明</w:t>
      </w:r>
      <w:bookmarkEnd w:id="12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3" w:name="_Toc25104"/>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.5用例</w:t>
      </w:r>
      <w:bookmarkEnd w:id="123"/>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24" w:name="_Toc2545"/>
      <w:r>
        <w:rPr>
          <w:rFonts w:hint="eastAsia" w:ascii="黑体" w:hAnsi="黑体" w:eastAsia="黑体" w:cs="黑体"/>
          <w:sz w:val="30"/>
          <w:szCs w:val="30"/>
          <w:lang w:val="en-US" w:eastAsia="zh-CN"/>
        </w:rPr>
        <w:t>3.2.11 地图编辑器配色规范</w:t>
      </w:r>
      <w:bookmarkEnd w:id="124"/>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5" w:name="_Toc2720"/>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bookmarkEnd w:id="12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更改绘制区域的背景样式面板，将原来的推荐配色+自定义配色面板，改为三组推荐配色组合+自定义配色面板。自定义配色面板默认收起，引导用户使用规范的推荐配色组合。</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6" w:name="_Toc25224"/>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bookmarkEnd w:id="126"/>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绘制区域时，设置背景样式面板调整为三组推荐配色和一个自定义配色面板；每组推荐配色包括底图颜色×1、区域颜色×6、以及组合效果图，点击效果图可弹出查看大图；自定义配色面板默认收起，用户点击展开才展开色板。</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在背景制作-绘制工具中增加文本编辑工具。当用户选用推荐配色时，将对文字标识的字号和颜色进行约束。如用户选择推荐配色一的底图时，用户添加文字标识，将会约束添加的文字标识的字号为XX号，色号为#XXXXXX。具体推荐配色对文字标识的约束以定稿UI为准。</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将内容制作-标识工具栏移至背景制作工具栏中。</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0455" cy="2850515"/>
            <wp:effectExtent l="0" t="0" r="4445" b="6985"/>
            <wp:docPr id="23" name="图片 23" descr="E:\工作夹\AKE\2017\-产品\原型导出图片\MPGS\V2.4.0\11_地图编辑器配色规范（交互）.png11_地图编辑器配色规范（交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E:\工作夹\AKE\2017\-产品\原型导出图片\MPGS\V2.4.0\11_地图编辑器配色规范（交互）.png11_地图编辑器配色规范（交互）"/>
                    <pic:cNvPicPr>
                      <a:picLocks noChangeAspect="1"/>
                    </pic:cNvPicPr>
                  </pic:nvPicPr>
                  <pic:blipFill>
                    <a:blip r:embed="rId24"/>
                    <a:srcRect/>
                    <a:stretch>
                      <a:fillRect/>
                    </a:stretch>
                  </pic:blipFill>
                  <pic:spPr>
                    <a:xfrm>
                      <a:off x="0" y="0"/>
                      <a:ext cx="6180455" cy="28505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3584575" cy="2862580"/>
            <wp:effectExtent l="0" t="0" r="9525" b="7620"/>
            <wp:docPr id="27" name="图片 27" descr="E:\工作夹\AKE\2017\-产品\原型导出图片\MPGS\V2.4.0\11_2内页展示.png11_2内页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E:\工作夹\AKE\2017\-产品\原型导出图片\MPGS\V2.4.0\11_2内页展示.png11_2内页展示"/>
                    <pic:cNvPicPr>
                      <a:picLocks noChangeAspect="1"/>
                    </pic:cNvPicPr>
                  </pic:nvPicPr>
                  <pic:blipFill>
                    <a:blip r:embed="rId25"/>
                    <a:srcRect/>
                    <a:stretch>
                      <a:fillRect/>
                    </a:stretch>
                  </pic:blipFill>
                  <pic:spPr>
                    <a:xfrm>
                      <a:off x="0" y="0"/>
                      <a:ext cx="3584575" cy="28625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object>
          <v:shape id="_x0000_i1026" o:spt="75" type="#_x0000_t75" style="height:65.5pt;width:72.5pt;" o:ole="t" filled="f" o:preferrelative="t" stroked="f" coordsize="21600,21600">
            <v:path/>
            <v:fill on="f" focussize="0,0"/>
            <v:stroke on="f"/>
            <v:imagedata r:id="rId27" o:title=""/>
            <o:lock v:ext="edit" aspectratio="t"/>
            <w10:wrap type="none"/>
            <w10:anchorlock/>
          </v:shape>
          <o:OLEObject Type="Embed" ProgID="Word.Document.12" ShapeID="_x0000_i1026" DrawAspect="Icon" ObjectID="_1468075726" r:id="rId26">
            <o:LockedField>false</o:LockedField>
          </o:OLEObject>
        </w:objec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7" w:name="_Toc17446"/>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bookmarkEnd w:id="12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8" w:name="_Toc15807"/>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bookmarkEnd w:id="12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9" w:name="_Toc9798"/>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bookmarkEnd w:id="129"/>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30" w:name="_Toc6826"/>
      <w:bookmarkStart w:id="131" w:name="_Toc5080"/>
      <w:r>
        <w:rPr>
          <w:rFonts w:hint="eastAsia" w:ascii="黑体" w:hAnsi="黑体" w:eastAsia="黑体" w:cs="黑体"/>
          <w:szCs w:val="22"/>
          <w:lang w:val="en-US" w:eastAsia="zh-CN"/>
        </w:rPr>
        <w:t>4.非功能性需求</w:t>
      </w:r>
      <w:bookmarkEnd w:id="130"/>
      <w:bookmarkEnd w:id="131"/>
    </w:p>
    <w:tbl>
      <w:tblPr>
        <w:tblStyle w:val="13"/>
        <w:tblW w:w="9500" w:type="dxa"/>
        <w:jc w:val="center"/>
        <w:tblInd w:w="-1495"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1846"/>
        <w:gridCol w:w="6348"/>
        <w:gridCol w:w="1306"/>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需求名称</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详细要求</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lang w:eastAsia="zh-CN"/>
              </w:rPr>
              <w:t>优先级</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可靠性要求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所有崩溃情况都有记录日志</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兼容性要求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9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vAlign w:val="center"/>
          </w:tcPr>
          <w:p>
            <w:pPr>
              <w:widowControl/>
              <w:snapToGrid/>
              <w:spacing w:line="400" w:lineRule="exact"/>
              <w:ind w:left="0" w:right="0" w:firstLine="0"/>
              <w:jc w:val="left"/>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效率要求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vAlign w:val="center"/>
          </w:tcPr>
          <w:p>
            <w:pPr>
              <w:widowControl/>
              <w:spacing w:beforeAutospacing="1" w:afterAutospacing="1" w:line="400" w:lineRule="exact"/>
              <w:ind w:left="0" w:right="0" w:firstLine="0"/>
              <w:jc w:val="both"/>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网络正常的情况下，任何菜单的点击响应时间不超过</w:t>
            </w:r>
            <w:r>
              <w:rPr>
                <w:rFonts w:hint="eastAsia" w:ascii="黑体" w:hAnsi="黑体" w:eastAsia="黑体" w:cs="黑体"/>
                <w:color w:val="000000"/>
                <w:kern w:val="0"/>
                <w:sz w:val="21"/>
                <w:szCs w:val="21"/>
                <w:lang w:val="en-US" w:eastAsia="zh-CN"/>
              </w:rPr>
              <w:t>3秒</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可维护性要求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可移植性要求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val="en-US"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易用性要求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bookmarkStart w:id="132" w:name="_Toc7429177"/>
            <w:bookmarkEnd w:id="132"/>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接口需求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运营性要求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风险规避</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性能需求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其它</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bl>
    <w:p>
      <w:pPr>
        <w:rPr>
          <w:rFonts w:hint="eastAsia"/>
          <w:lang w:val="en-US" w:eastAsia="zh-CN"/>
        </w:rPr>
      </w:pPr>
      <w:bookmarkStart w:id="133" w:name="_Toc31005"/>
      <w:bookmarkEnd w:id="133"/>
      <w:bookmarkStart w:id="134" w:name="_Toc20296"/>
      <w:bookmarkEnd w:id="134"/>
      <w:bookmarkStart w:id="135" w:name="_Toc16300"/>
      <w:bookmarkEnd w:id="135"/>
      <w:bookmarkStart w:id="136" w:name="_Toc30536"/>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37" w:name="_Toc10698"/>
      <w:bookmarkStart w:id="138" w:name="_Toc27079"/>
      <w:r>
        <w:rPr>
          <w:rFonts w:hint="eastAsia" w:ascii="黑体" w:hAnsi="黑体" w:eastAsia="黑体" w:cs="黑体"/>
          <w:szCs w:val="22"/>
          <w:lang w:val="en-US" w:eastAsia="zh-CN"/>
        </w:rPr>
        <w:t>5.外部接口说明</w:t>
      </w:r>
      <w:bookmarkEnd w:id="136"/>
      <w:bookmarkEnd w:id="137"/>
      <w:bookmarkEnd w:id="13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39" w:name="_Toc9737"/>
      <w:bookmarkEnd w:id="139"/>
      <w:bookmarkStart w:id="140" w:name="_Toc4050"/>
      <w:bookmarkEnd w:id="140"/>
      <w:bookmarkStart w:id="141" w:name="_Toc2018"/>
      <w:bookmarkEnd w:id="141"/>
      <w:bookmarkStart w:id="142" w:name="_Toc5382"/>
      <w:bookmarkStart w:id="143" w:name="_Toc1804"/>
      <w:bookmarkStart w:id="144" w:name="_Toc28063"/>
      <w:r>
        <w:rPr>
          <w:rFonts w:hint="eastAsia" w:ascii="黑体" w:hAnsi="黑体" w:eastAsia="黑体" w:cs="黑体"/>
          <w:szCs w:val="22"/>
          <w:lang w:val="en-US" w:eastAsia="zh-CN"/>
        </w:rPr>
        <w:t>6.附件</w:t>
      </w:r>
      <w:bookmarkEnd w:id="142"/>
      <w:bookmarkEnd w:id="143"/>
      <w:bookmarkEnd w:id="14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45" w:name="_Toc12766"/>
      <w:bookmarkEnd w:id="145"/>
      <w:bookmarkStart w:id="146" w:name="_Toc8307"/>
      <w:bookmarkEnd w:id="146"/>
      <w:bookmarkStart w:id="147" w:name="_Toc7732"/>
      <w:bookmarkEnd w:id="147"/>
      <w:bookmarkStart w:id="148" w:name="_Toc21233"/>
      <w:bookmarkStart w:id="149" w:name="_Toc12598"/>
      <w:bookmarkStart w:id="150" w:name="_Toc19341"/>
      <w:r>
        <w:rPr>
          <w:rFonts w:hint="eastAsia" w:ascii="黑体" w:hAnsi="黑体" w:eastAsia="黑体" w:cs="黑体"/>
          <w:szCs w:val="22"/>
          <w:lang w:val="en-US" w:eastAsia="zh-CN"/>
        </w:rPr>
        <w:t>7.附录</w:t>
      </w:r>
      <w:bookmarkEnd w:id="148"/>
      <w:bookmarkEnd w:id="149"/>
      <w:bookmarkEnd w:id="150"/>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1" w:name="_Toc20160"/>
      <w:bookmarkEnd w:id="151"/>
      <w:bookmarkStart w:id="152" w:name="_Toc25562"/>
      <w:bookmarkEnd w:id="152"/>
      <w:bookmarkStart w:id="153" w:name="_Toc3022"/>
      <w:bookmarkStart w:id="154" w:name="_Toc17965"/>
      <w:bookmarkStart w:id="155" w:name="_Toc10464"/>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bookmarkEnd w:id="153"/>
      <w:bookmarkEnd w:id="154"/>
      <w:bookmarkEnd w:id="155"/>
    </w:p>
    <w:tbl>
      <w:tblPr>
        <w:tblStyle w:val="1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2"/>
        <w:gridCol w:w="3450"/>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序号</w:t>
            </w:r>
          </w:p>
        </w:tc>
        <w:tc>
          <w:tcPr>
            <w:tcW w:w="345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对象</w:t>
            </w:r>
          </w:p>
        </w:tc>
        <w:tc>
          <w:tcPr>
            <w:tcW w:w="381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sz w:val="21"/>
                <w:szCs w:val="21"/>
                <w:lang w:val="en-US" w:eastAsia="zh-CN"/>
              </w:rPr>
            </w:pPr>
          </w:p>
        </w:tc>
        <w:tc>
          <w:tcPr>
            <w:tcW w:w="3450" w:type="dxa"/>
            <w:shd w:val="clear" w:color="auto" w:fill="auto"/>
            <w:tcMar>
              <w:left w:w="108" w:type="dxa"/>
            </w:tcMar>
          </w:tcPr>
          <w:p>
            <w:pPr>
              <w:rPr>
                <w:rFonts w:hint="eastAsia" w:ascii="黑体" w:hAnsi="黑体" w:eastAsia="黑体" w:cs="黑体"/>
                <w:sz w:val="21"/>
                <w:szCs w:val="21"/>
                <w:lang w:eastAsia="zh-CN"/>
              </w:rPr>
            </w:pPr>
          </w:p>
        </w:tc>
        <w:tc>
          <w:tcPr>
            <w:tcW w:w="3810" w:type="dxa"/>
            <w:shd w:val="clear" w:color="auto" w:fill="auto"/>
            <w:tcMar>
              <w:left w:w="108" w:type="dxa"/>
            </w:tcMar>
          </w:tcPr>
          <w:p>
            <w:pPr>
              <w:rPr>
                <w:rFonts w:hint="eastAsia" w:ascii="黑体" w:hAnsi="黑体" w:eastAsia="黑体" w:cs="黑体"/>
                <w:sz w:val="21"/>
                <w:szCs w:val="21"/>
                <w:lang w:eastAsia="zh-CN"/>
              </w:rPr>
            </w:pPr>
          </w:p>
        </w:tc>
      </w:tr>
    </w:tbl>
    <w:p>
      <w:pPr>
        <w:rPr>
          <w:lang w:eastAsia="zh-CN"/>
        </w:rPr>
      </w:pP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6" w:name="_Toc32744"/>
      <w:bookmarkEnd w:id="156"/>
      <w:bookmarkStart w:id="157" w:name="_Toc1779"/>
      <w:bookmarkEnd w:id="157"/>
      <w:bookmarkStart w:id="158" w:name="_Toc5054"/>
      <w:bookmarkStart w:id="159" w:name="_Toc14509"/>
      <w:bookmarkStart w:id="160" w:name="_Toc9981"/>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bookmarkEnd w:id="158"/>
      <w:bookmarkEnd w:id="159"/>
      <w:bookmarkEnd w:id="16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F9768D"/>
    <w:multiLevelType w:val="singleLevel"/>
    <w:tmpl w:val="55F9768D"/>
    <w:lvl w:ilvl="0" w:tentative="0">
      <w:start w:val="1"/>
      <w:numFmt w:val="decimal"/>
      <w:suff w:val="nothing"/>
      <w:lvlText w:val="%1、"/>
      <w:lvlJc w:val="left"/>
    </w:lvl>
  </w:abstractNum>
  <w:abstractNum w:abstractNumId="1">
    <w:nsid w:val="55F97F5F"/>
    <w:multiLevelType w:val="singleLevel"/>
    <w:tmpl w:val="55F97F5F"/>
    <w:lvl w:ilvl="0" w:tentative="0">
      <w:start w:val="1"/>
      <w:numFmt w:val="decimal"/>
      <w:suff w:val="nothing"/>
      <w:lvlText w:val="%1、"/>
      <w:lvlJc w:val="left"/>
    </w:lvl>
  </w:abstractNum>
  <w:abstractNum w:abstractNumId="2">
    <w:nsid w:val="55F998A4"/>
    <w:multiLevelType w:val="singleLevel"/>
    <w:tmpl w:val="55F998A4"/>
    <w:lvl w:ilvl="0" w:tentative="0">
      <w:start w:val="1"/>
      <w:numFmt w:val="decimal"/>
      <w:suff w:val="nothing"/>
      <w:lvlText w:val="%1、"/>
      <w:lvlJc w:val="left"/>
    </w:lvl>
  </w:abstractNum>
  <w:abstractNum w:abstractNumId="3">
    <w:nsid w:val="55F9993B"/>
    <w:multiLevelType w:val="singleLevel"/>
    <w:tmpl w:val="55F9993B"/>
    <w:lvl w:ilvl="0" w:tentative="0">
      <w:start w:val="1"/>
      <w:numFmt w:val="decimal"/>
      <w:suff w:val="nothing"/>
      <w:lvlText w:val="%1、"/>
      <w:lvlJc w:val="left"/>
    </w:lvl>
  </w:abstractNum>
  <w:abstractNum w:abstractNumId="4">
    <w:nsid w:val="55FCFACF"/>
    <w:multiLevelType w:val="singleLevel"/>
    <w:tmpl w:val="55FCFACF"/>
    <w:lvl w:ilvl="0" w:tentative="0">
      <w:start w:val="1"/>
      <w:numFmt w:val="decimal"/>
      <w:suff w:val="nothing"/>
      <w:lvlText w:val="%1、"/>
      <w:lvlJc w:val="left"/>
    </w:lvl>
  </w:abstractNum>
  <w:abstractNum w:abstractNumId="5">
    <w:nsid w:val="56AD97C3"/>
    <w:multiLevelType w:val="singleLevel"/>
    <w:tmpl w:val="56AD97C3"/>
    <w:lvl w:ilvl="0" w:tentative="0">
      <w:start w:val="1"/>
      <w:numFmt w:val="decimal"/>
      <w:suff w:val="nothing"/>
      <w:lvlText w:val="%1、"/>
      <w:lvlJc w:val="left"/>
    </w:lvl>
  </w:abstractNum>
  <w:abstractNum w:abstractNumId="6">
    <w:nsid w:val="56AD982D"/>
    <w:multiLevelType w:val="singleLevel"/>
    <w:tmpl w:val="56AD982D"/>
    <w:lvl w:ilvl="0" w:tentative="0">
      <w:start w:val="1"/>
      <w:numFmt w:val="decimal"/>
      <w:suff w:val="nothing"/>
      <w:lvlText w:val="%1、"/>
      <w:lvlJc w:val="left"/>
    </w:lvl>
  </w:abstractNum>
  <w:abstractNum w:abstractNumId="7">
    <w:nsid w:val="58B39911"/>
    <w:multiLevelType w:val="multilevel"/>
    <w:tmpl w:val="58B39911"/>
    <w:lvl w:ilvl="0" w:tentative="0">
      <w:start w:val="1"/>
      <w:numFmt w:val="decimal"/>
      <w:pStyle w:val="3"/>
      <w:lvlText w:val="%1."/>
      <w:lvlJc w:val="left"/>
      <w:pPr>
        <w:ind w:left="425" w:leftChars="0" w:hanging="425" w:firstLineChars="0"/>
      </w:pPr>
      <w:rPr>
        <w:rFonts w:hint="default" w:ascii="宋体" w:hAnsi="宋体" w:eastAsia="宋体" w:cs="宋体"/>
      </w:rPr>
    </w:lvl>
    <w:lvl w:ilvl="1" w:tentative="0">
      <w:start w:val="1"/>
      <w:numFmt w:val="decimal"/>
      <w:pStyle w:val="4"/>
      <w:lvlText w:val="%1.%2."/>
      <w:lvlJc w:val="left"/>
      <w:pPr>
        <w:ind w:left="567" w:leftChars="0" w:hanging="567" w:firstLineChars="0"/>
      </w:pPr>
      <w:rPr>
        <w:rFonts w:hint="default" w:ascii="宋体" w:hAnsi="宋体" w:eastAsia="宋体" w:cs="宋体"/>
      </w:rPr>
    </w:lvl>
    <w:lvl w:ilvl="2" w:tentative="0">
      <w:start w:val="1"/>
      <w:numFmt w:val="decimal"/>
      <w:pStyle w:val="5"/>
      <w:lvlText w:val="%1.%2.%3."/>
      <w:lvlJc w:val="left"/>
      <w:pPr>
        <w:ind w:left="709" w:leftChars="0" w:hanging="709" w:firstLineChars="0"/>
      </w:pPr>
      <w:rPr>
        <w:rFonts w:hint="default" w:ascii="宋体" w:hAnsi="宋体" w:eastAsia="宋体" w:cs="宋体"/>
      </w:rPr>
    </w:lvl>
    <w:lvl w:ilvl="3" w:tentative="0">
      <w:start w:val="1"/>
      <w:numFmt w:val="decimal"/>
      <w:lvlText w:val="%1.%2.%3.%4."/>
      <w:lvlJc w:val="left"/>
      <w:pPr>
        <w:ind w:left="850" w:leftChars="0" w:hanging="850" w:firstLineChars="0"/>
      </w:pPr>
      <w:rPr>
        <w:rFonts w:hint="default" w:ascii="宋体" w:hAnsi="宋体" w:eastAsia="宋体" w:cs="宋体"/>
      </w:rPr>
    </w:lvl>
    <w:lvl w:ilvl="4" w:tentative="0">
      <w:start w:val="1"/>
      <w:numFmt w:val="decimal"/>
      <w:lvlText w:val="%1.%2.%3.%4.%5."/>
      <w:lvlJc w:val="left"/>
      <w:pPr>
        <w:ind w:left="991" w:leftChars="0" w:hanging="991" w:firstLineChars="0"/>
      </w:pPr>
      <w:rPr>
        <w:rFonts w:hint="default" w:ascii="宋体" w:hAnsi="宋体" w:eastAsia="宋体" w:cs="宋体"/>
      </w:rPr>
    </w:lvl>
    <w:lvl w:ilvl="5" w:tentative="0">
      <w:start w:val="1"/>
      <w:numFmt w:val="decimal"/>
      <w:lvlText w:val="%1.%2.%3.%4.%5.%6."/>
      <w:lvlJc w:val="left"/>
      <w:pPr>
        <w:ind w:left="1134" w:leftChars="0" w:hanging="1134" w:firstLineChars="0"/>
      </w:pPr>
      <w:rPr>
        <w:rFonts w:hint="default" w:ascii="宋体" w:hAnsi="宋体" w:eastAsia="宋体" w:cs="宋体"/>
      </w:rPr>
    </w:lvl>
    <w:lvl w:ilvl="6" w:tentative="0">
      <w:start w:val="1"/>
      <w:numFmt w:val="decimal"/>
      <w:lvlText w:val="%1.%2.%3.%4.%5.%6.%7."/>
      <w:lvlJc w:val="left"/>
      <w:pPr>
        <w:ind w:left="1275" w:leftChars="0" w:hanging="1275" w:firstLineChars="0"/>
      </w:pPr>
      <w:rPr>
        <w:rFonts w:hint="default"/>
      </w:rPr>
    </w:lvl>
    <w:lvl w:ilvl="7" w:tentative="0">
      <w:start w:val="1"/>
      <w:numFmt w:val="decimal"/>
      <w:lvlText w:val="%1.%2.%3.%4.%5.%6.%7.%8."/>
      <w:lvlJc w:val="left"/>
      <w:pPr>
        <w:ind w:left="1418" w:leftChars="0" w:hanging="1418" w:firstLineChars="0"/>
      </w:pPr>
      <w:rPr>
        <w:rFonts w:hint="default"/>
      </w:rPr>
    </w:lvl>
    <w:lvl w:ilvl="8" w:tentative="0">
      <w:start w:val="1"/>
      <w:numFmt w:val="decimal"/>
      <w:lvlText w:val="%1.%2.%3.%4.%5.%6.%7.%8.%9."/>
      <w:lvlJc w:val="left"/>
      <w:pPr>
        <w:ind w:left="1558" w:leftChars="0" w:hanging="1558" w:firstLineChars="0"/>
      </w:pPr>
      <w:rPr>
        <w:rFonts w:hint="default"/>
      </w:rPr>
    </w:lvl>
  </w:abstractNum>
  <w:abstractNum w:abstractNumId="8">
    <w:nsid w:val="59FF3EF2"/>
    <w:multiLevelType w:val="singleLevel"/>
    <w:tmpl w:val="59FF3EF2"/>
    <w:lvl w:ilvl="0" w:tentative="0">
      <w:start w:val="9"/>
      <w:numFmt w:val="decimal"/>
      <w:suff w:val="nothing"/>
      <w:lvlText w:val="%1、"/>
      <w:lvlJc w:val="left"/>
    </w:lvl>
  </w:abstractNum>
  <w:abstractNum w:abstractNumId="9">
    <w:nsid w:val="5A67E4D0"/>
    <w:multiLevelType w:val="singleLevel"/>
    <w:tmpl w:val="5A67E4D0"/>
    <w:lvl w:ilvl="0" w:tentative="0">
      <w:start w:val="1"/>
      <w:numFmt w:val="decimal"/>
      <w:suff w:val="nothing"/>
      <w:lvlText w:val="（%1）"/>
      <w:lvlJc w:val="left"/>
    </w:lvl>
  </w:abstractNum>
  <w:abstractNum w:abstractNumId="10">
    <w:nsid w:val="5A6805C2"/>
    <w:multiLevelType w:val="singleLevel"/>
    <w:tmpl w:val="5A6805C2"/>
    <w:lvl w:ilvl="0" w:tentative="0">
      <w:start w:val="1"/>
      <w:numFmt w:val="decimal"/>
      <w:suff w:val="nothing"/>
      <w:lvlText w:val="（%1）"/>
      <w:lvlJc w:val="left"/>
    </w:lvl>
  </w:abstractNum>
  <w:abstractNum w:abstractNumId="11">
    <w:nsid w:val="5A693704"/>
    <w:multiLevelType w:val="singleLevel"/>
    <w:tmpl w:val="5A693704"/>
    <w:lvl w:ilvl="0" w:tentative="0">
      <w:start w:val="1"/>
      <w:numFmt w:val="decimal"/>
      <w:suff w:val="nothing"/>
      <w:lvlText w:val="（%1）"/>
      <w:lvlJc w:val="left"/>
    </w:lvl>
  </w:abstractNum>
  <w:abstractNum w:abstractNumId="12">
    <w:nsid w:val="5A693A6C"/>
    <w:multiLevelType w:val="singleLevel"/>
    <w:tmpl w:val="5A693A6C"/>
    <w:lvl w:ilvl="0" w:tentative="0">
      <w:start w:val="1"/>
      <w:numFmt w:val="decimal"/>
      <w:suff w:val="nothing"/>
      <w:lvlText w:val="（%1）"/>
      <w:lvlJc w:val="left"/>
    </w:lvl>
  </w:abstractNum>
  <w:abstractNum w:abstractNumId="13">
    <w:nsid w:val="5A6ADC69"/>
    <w:multiLevelType w:val="singleLevel"/>
    <w:tmpl w:val="5A6ADC69"/>
    <w:lvl w:ilvl="0" w:tentative="0">
      <w:start w:val="1"/>
      <w:numFmt w:val="bullet"/>
      <w:lvlText w:val=""/>
      <w:lvlJc w:val="left"/>
      <w:pPr>
        <w:ind w:left="420" w:hanging="420"/>
      </w:pPr>
      <w:rPr>
        <w:rFonts w:hint="default" w:ascii="Wingdings" w:hAnsi="Wingdings"/>
      </w:rPr>
    </w:lvl>
  </w:abstractNum>
  <w:abstractNum w:abstractNumId="14">
    <w:nsid w:val="5A6EEB1C"/>
    <w:multiLevelType w:val="singleLevel"/>
    <w:tmpl w:val="5A6EEB1C"/>
    <w:lvl w:ilvl="0" w:tentative="0">
      <w:start w:val="1"/>
      <w:numFmt w:val="decimal"/>
      <w:suff w:val="nothing"/>
      <w:lvlText w:val="（%1）"/>
      <w:lvlJc w:val="left"/>
    </w:lvl>
  </w:abstractNum>
  <w:abstractNum w:abstractNumId="15">
    <w:nsid w:val="65CB3C71"/>
    <w:multiLevelType w:val="singleLevel"/>
    <w:tmpl w:val="65CB3C71"/>
    <w:lvl w:ilvl="0" w:tentative="0">
      <w:start w:val="1"/>
      <w:numFmt w:val="decimal"/>
      <w:suff w:val="nothing"/>
      <w:lvlText w:val="（%1）"/>
      <w:lvlJc w:val="left"/>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8"/>
  </w:num>
  <w:num w:numId="10">
    <w:abstractNumId w:val="14"/>
  </w:num>
  <w:num w:numId="11">
    <w:abstractNumId w:val="9"/>
  </w:num>
  <w:num w:numId="12">
    <w:abstractNumId w:val="10"/>
  </w:num>
  <w:num w:numId="13">
    <w:abstractNumId w:val="13"/>
  </w:num>
  <w:num w:numId="14">
    <w:abstractNumId w:val="15"/>
  </w:num>
  <w:num w:numId="15">
    <w:abstractNumId w:val="1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CD06F49"/>
    <w:rsid w:val="01412C42"/>
    <w:rsid w:val="02E60A75"/>
    <w:rsid w:val="03342ECF"/>
    <w:rsid w:val="03B94830"/>
    <w:rsid w:val="03FA7154"/>
    <w:rsid w:val="04564343"/>
    <w:rsid w:val="045C4E8D"/>
    <w:rsid w:val="058B2EC2"/>
    <w:rsid w:val="06353BDA"/>
    <w:rsid w:val="063B28BA"/>
    <w:rsid w:val="08370E0F"/>
    <w:rsid w:val="08F52F8E"/>
    <w:rsid w:val="09792575"/>
    <w:rsid w:val="0AFA77BE"/>
    <w:rsid w:val="0B2C6C86"/>
    <w:rsid w:val="0CF0632E"/>
    <w:rsid w:val="0D3422E6"/>
    <w:rsid w:val="0E3A30BB"/>
    <w:rsid w:val="0E921E79"/>
    <w:rsid w:val="0EEF3643"/>
    <w:rsid w:val="0F9E138C"/>
    <w:rsid w:val="10213790"/>
    <w:rsid w:val="1036007F"/>
    <w:rsid w:val="10F463B6"/>
    <w:rsid w:val="115A4258"/>
    <w:rsid w:val="117F398C"/>
    <w:rsid w:val="11F57199"/>
    <w:rsid w:val="12096A7F"/>
    <w:rsid w:val="129217E1"/>
    <w:rsid w:val="14CF2EC9"/>
    <w:rsid w:val="15450503"/>
    <w:rsid w:val="15AD16E8"/>
    <w:rsid w:val="165F050B"/>
    <w:rsid w:val="17666C7B"/>
    <w:rsid w:val="18076A37"/>
    <w:rsid w:val="186A7018"/>
    <w:rsid w:val="192A4996"/>
    <w:rsid w:val="19953E17"/>
    <w:rsid w:val="19BC3791"/>
    <w:rsid w:val="19FE60EF"/>
    <w:rsid w:val="1A554449"/>
    <w:rsid w:val="1AEC4086"/>
    <w:rsid w:val="1B1558D2"/>
    <w:rsid w:val="1B3D379D"/>
    <w:rsid w:val="1B3E5F9A"/>
    <w:rsid w:val="1BBF563F"/>
    <w:rsid w:val="1C056559"/>
    <w:rsid w:val="1C8210CF"/>
    <w:rsid w:val="1CD06F49"/>
    <w:rsid w:val="1E4826E8"/>
    <w:rsid w:val="1E4F05A1"/>
    <w:rsid w:val="1E920C0D"/>
    <w:rsid w:val="1FA64F92"/>
    <w:rsid w:val="20395A17"/>
    <w:rsid w:val="206C73EA"/>
    <w:rsid w:val="217B4983"/>
    <w:rsid w:val="221F7D1B"/>
    <w:rsid w:val="236627B0"/>
    <w:rsid w:val="23B72971"/>
    <w:rsid w:val="23EF479E"/>
    <w:rsid w:val="24686A5E"/>
    <w:rsid w:val="249771E8"/>
    <w:rsid w:val="249E227B"/>
    <w:rsid w:val="24AA0A80"/>
    <w:rsid w:val="250F2555"/>
    <w:rsid w:val="254B133D"/>
    <w:rsid w:val="254B6885"/>
    <w:rsid w:val="2877661A"/>
    <w:rsid w:val="294D41B1"/>
    <w:rsid w:val="299A65EF"/>
    <w:rsid w:val="2AF56607"/>
    <w:rsid w:val="2B7D2034"/>
    <w:rsid w:val="2C89431A"/>
    <w:rsid w:val="2CD7410D"/>
    <w:rsid w:val="2D636D36"/>
    <w:rsid w:val="303660C4"/>
    <w:rsid w:val="30580989"/>
    <w:rsid w:val="30AC429A"/>
    <w:rsid w:val="30D73424"/>
    <w:rsid w:val="31D9363A"/>
    <w:rsid w:val="31E11053"/>
    <w:rsid w:val="33A979B4"/>
    <w:rsid w:val="34164B8B"/>
    <w:rsid w:val="354B02D5"/>
    <w:rsid w:val="35534482"/>
    <w:rsid w:val="35775E20"/>
    <w:rsid w:val="35C711DB"/>
    <w:rsid w:val="35CD4B16"/>
    <w:rsid w:val="35EB0108"/>
    <w:rsid w:val="36780322"/>
    <w:rsid w:val="378D6A65"/>
    <w:rsid w:val="37986597"/>
    <w:rsid w:val="37A04983"/>
    <w:rsid w:val="3AA7565D"/>
    <w:rsid w:val="3C923D54"/>
    <w:rsid w:val="3D0278DC"/>
    <w:rsid w:val="3D2979D9"/>
    <w:rsid w:val="3E3C52FA"/>
    <w:rsid w:val="3E3C6F0C"/>
    <w:rsid w:val="3E6D6AE5"/>
    <w:rsid w:val="3E884166"/>
    <w:rsid w:val="3E970770"/>
    <w:rsid w:val="3EF24D9D"/>
    <w:rsid w:val="3F8F2390"/>
    <w:rsid w:val="40213607"/>
    <w:rsid w:val="40473168"/>
    <w:rsid w:val="40D75162"/>
    <w:rsid w:val="41406609"/>
    <w:rsid w:val="41A46E15"/>
    <w:rsid w:val="41EE28DF"/>
    <w:rsid w:val="42CF7093"/>
    <w:rsid w:val="434830A2"/>
    <w:rsid w:val="43CE4EE3"/>
    <w:rsid w:val="43E65D04"/>
    <w:rsid w:val="4401240D"/>
    <w:rsid w:val="453C3D7A"/>
    <w:rsid w:val="459742DE"/>
    <w:rsid w:val="45A34800"/>
    <w:rsid w:val="45E62D98"/>
    <w:rsid w:val="46FB02FD"/>
    <w:rsid w:val="47E9662D"/>
    <w:rsid w:val="481F2798"/>
    <w:rsid w:val="48BC3456"/>
    <w:rsid w:val="48D55E81"/>
    <w:rsid w:val="499B7840"/>
    <w:rsid w:val="4AD20219"/>
    <w:rsid w:val="4AE61356"/>
    <w:rsid w:val="4B4936AC"/>
    <w:rsid w:val="4B56695C"/>
    <w:rsid w:val="4B891169"/>
    <w:rsid w:val="4C6C4F55"/>
    <w:rsid w:val="4C6D241F"/>
    <w:rsid w:val="4D513936"/>
    <w:rsid w:val="4DD55A13"/>
    <w:rsid w:val="4E4913B8"/>
    <w:rsid w:val="50345D09"/>
    <w:rsid w:val="506C4914"/>
    <w:rsid w:val="51E951F7"/>
    <w:rsid w:val="523311DA"/>
    <w:rsid w:val="52813883"/>
    <w:rsid w:val="52833821"/>
    <w:rsid w:val="52BA34CF"/>
    <w:rsid w:val="52F63164"/>
    <w:rsid w:val="53F66372"/>
    <w:rsid w:val="543E2368"/>
    <w:rsid w:val="54E8350E"/>
    <w:rsid w:val="55BB457A"/>
    <w:rsid w:val="55DA0BF9"/>
    <w:rsid w:val="562C3D70"/>
    <w:rsid w:val="569964DD"/>
    <w:rsid w:val="588C512A"/>
    <w:rsid w:val="58B13353"/>
    <w:rsid w:val="599F0F67"/>
    <w:rsid w:val="59B6754C"/>
    <w:rsid w:val="5A531600"/>
    <w:rsid w:val="5A534118"/>
    <w:rsid w:val="5A921760"/>
    <w:rsid w:val="5B4D51F1"/>
    <w:rsid w:val="5C130308"/>
    <w:rsid w:val="5C5A6CFF"/>
    <w:rsid w:val="5C672B92"/>
    <w:rsid w:val="5C8E72D4"/>
    <w:rsid w:val="5CA143F3"/>
    <w:rsid w:val="5CA70118"/>
    <w:rsid w:val="5D727281"/>
    <w:rsid w:val="5DD072C7"/>
    <w:rsid w:val="5E962873"/>
    <w:rsid w:val="5F211A87"/>
    <w:rsid w:val="5F2D4918"/>
    <w:rsid w:val="5F3F54E5"/>
    <w:rsid w:val="5F8318F5"/>
    <w:rsid w:val="5F8E1610"/>
    <w:rsid w:val="600B6049"/>
    <w:rsid w:val="636D26B1"/>
    <w:rsid w:val="637F0B31"/>
    <w:rsid w:val="63C0531D"/>
    <w:rsid w:val="64C95BD4"/>
    <w:rsid w:val="664D7022"/>
    <w:rsid w:val="66A95E9B"/>
    <w:rsid w:val="66ED57F0"/>
    <w:rsid w:val="686A5BEB"/>
    <w:rsid w:val="68C62836"/>
    <w:rsid w:val="6D567943"/>
    <w:rsid w:val="6E443EBF"/>
    <w:rsid w:val="70157909"/>
    <w:rsid w:val="70407CA6"/>
    <w:rsid w:val="712935AC"/>
    <w:rsid w:val="7159117F"/>
    <w:rsid w:val="71CF2844"/>
    <w:rsid w:val="71E946B0"/>
    <w:rsid w:val="722D6AD3"/>
    <w:rsid w:val="72DF3BF9"/>
    <w:rsid w:val="740132B6"/>
    <w:rsid w:val="747D1DCF"/>
    <w:rsid w:val="7503387C"/>
    <w:rsid w:val="755505F5"/>
    <w:rsid w:val="756C2DB9"/>
    <w:rsid w:val="76075456"/>
    <w:rsid w:val="767455FE"/>
    <w:rsid w:val="775A1138"/>
    <w:rsid w:val="776E47B6"/>
    <w:rsid w:val="77A154F6"/>
    <w:rsid w:val="77B321FD"/>
    <w:rsid w:val="78556A48"/>
    <w:rsid w:val="78AE2B3D"/>
    <w:rsid w:val="7985752B"/>
    <w:rsid w:val="7A885C90"/>
    <w:rsid w:val="7A940059"/>
    <w:rsid w:val="7AE11D2A"/>
    <w:rsid w:val="7B55150B"/>
    <w:rsid w:val="7D05104A"/>
    <w:rsid w:val="7D12270D"/>
    <w:rsid w:val="7EBD3894"/>
    <w:rsid w:val="7EC5349F"/>
    <w:rsid w:val="7EDF655B"/>
    <w:rsid w:val="7F371C4A"/>
    <w:rsid w:val="7F98021E"/>
    <w:rsid w:val="7FD96A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numPr>
        <w:ilvl w:val="0"/>
        <w:numId w:val="1"/>
      </w:numPr>
      <w:spacing w:before="260" w:beforeLines="0" w:beforeAutospacing="0" w:after="260" w:afterLines="0" w:afterAutospacing="0" w:line="413" w:lineRule="auto"/>
      <w:ind w:left="425" w:hanging="425"/>
      <w:outlineLvl w:val="1"/>
    </w:pPr>
    <w:rPr>
      <w:rFonts w:ascii="Arial" w:hAnsi="Arial" w:eastAsia="黑体"/>
      <w:b/>
      <w:sz w:val="32"/>
    </w:rPr>
  </w:style>
  <w:style w:type="paragraph" w:styleId="4">
    <w:name w:val="heading 3"/>
    <w:basedOn w:val="1"/>
    <w:next w:val="1"/>
    <w:unhideWhenUsed/>
    <w:qFormat/>
    <w:uiPriority w:val="0"/>
    <w:pPr>
      <w:keepNext/>
      <w:keepLines/>
      <w:numPr>
        <w:ilvl w:val="1"/>
        <w:numId w:val="1"/>
      </w:numPr>
      <w:spacing w:before="260" w:beforeLines="0" w:beforeAutospacing="0" w:after="260" w:afterLines="0" w:afterAutospacing="0" w:line="413" w:lineRule="auto"/>
      <w:ind w:left="567" w:hanging="567"/>
      <w:outlineLvl w:val="2"/>
    </w:pPr>
    <w:rPr>
      <w:b/>
      <w:sz w:val="32"/>
    </w:rPr>
  </w:style>
  <w:style w:type="paragraph" w:styleId="5">
    <w:name w:val="heading 4"/>
    <w:basedOn w:val="1"/>
    <w:next w:val="1"/>
    <w:unhideWhenUsed/>
    <w:qFormat/>
    <w:uiPriority w:val="0"/>
    <w:pPr>
      <w:keepNext/>
      <w:keepLines/>
      <w:numPr>
        <w:ilvl w:val="2"/>
        <w:numId w:val="1"/>
      </w:numPr>
      <w:spacing w:before="280" w:beforeLines="0" w:beforeAutospacing="0" w:after="290" w:afterLines="0" w:afterAutospacing="0" w:line="372" w:lineRule="auto"/>
      <w:ind w:left="709" w:hanging="709"/>
      <w:outlineLvl w:val="3"/>
    </w:pPr>
    <w:rPr>
      <w:rFonts w:ascii="Arial" w:hAnsi="Arial" w:eastAsia="黑体"/>
      <w:b/>
      <w:sz w:val="28"/>
    </w:rPr>
  </w:style>
  <w:style w:type="character" w:default="1" w:styleId="12">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header"/>
    <w:basedOn w:val="1"/>
    <w:qFormat/>
    <w:uiPriority w:val="0"/>
    <w:pPr>
      <w:tabs>
        <w:tab w:val="center" w:pos="4153"/>
        <w:tab w:val="right" w:pos="8306"/>
      </w:tabs>
      <w:snapToGrid w:val="0"/>
      <w:jc w:val="both"/>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5">
    <w:name w:val="框架内容"/>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2.emf"/><Relationship Id="rId26" Type="http://schemas.openxmlformats.org/officeDocument/2006/relationships/oleObject" Target="embeddings/oleObject2.bin"/><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emf"/><Relationship Id="rId12" Type="http://schemas.openxmlformats.org/officeDocument/2006/relationships/oleObject" Target="embeddings/oleObject1.bin"/><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2018-01-20T01:18:00Z</dcterms:created>
  <dc:creator>北北</dc:creator>
  <cp:lastModifiedBy>北北</cp:lastModifiedBy>
  <dcterms:modified xsi:type="dcterms:W3CDTF">2018-03-16T03:52:02Z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