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bookmarkStart w:id="0" w:name="_Toc25469"/>
    </w:p>
    <w:p>
      <w:pPr>
        <w:rPr>
          <w:rFonts w:hint="eastAsia"/>
          <w:lang w:val="en-US" w:eastAsia="zh-CN"/>
        </w:rPr>
      </w:pPr>
    </w:p>
    <w:p>
      <w:pPr>
        <w:pStyle w:val="2"/>
        <w:jc w:val="center"/>
        <w:rPr>
          <w:rFonts w:hint="eastAsia" w:ascii="黑体" w:hAnsi="黑体" w:eastAsia="黑体" w:cs="黑体"/>
          <w:sz w:val="44"/>
          <w:szCs w:val="44"/>
          <w:lang w:val="en-US" w:eastAsia="zh-CN"/>
        </w:rPr>
      </w:pPr>
      <w:bookmarkStart w:id="1" w:name="_Toc24294"/>
      <w:bookmarkStart w:id="2" w:name="_Toc30198"/>
      <w:r>
        <w:rPr>
          <w:rFonts w:hint="eastAsia" w:ascii="黑体" w:hAnsi="黑体" w:eastAsia="黑体" w:cs="黑体"/>
          <w:sz w:val="44"/>
          <w:szCs w:val="44"/>
          <w:lang w:val="en-US" w:eastAsia="zh-CN"/>
        </w:rPr>
        <w:t>MPGS V2.4.0</w:t>
      </w:r>
      <w:bookmarkEnd w:id="0"/>
      <w:bookmarkEnd w:id="1"/>
      <w:bookmarkEnd w:id="2"/>
    </w:p>
    <w:p>
      <w:pPr>
        <w:jc w:val="center"/>
        <w:rPr>
          <w:rFonts w:hint="eastAsia"/>
          <w:bCs/>
          <w:u w:val="single"/>
        </w:rPr>
      </w:pPr>
      <w:r>
        <mc:AlternateContent>
          <mc:Choice Requires="wps">
            <w:drawing>
              <wp:anchor distT="0" distB="0" distL="114300" distR="114300" simplePos="0" relativeHeight="1024" behindDoc="0" locked="0" layoutInCell="1" allowOverlap="1">
                <wp:simplePos x="0" y="0"/>
                <wp:positionH relativeFrom="column">
                  <wp:posOffset>464820</wp:posOffset>
                </wp:positionH>
                <wp:positionV relativeFrom="paragraph">
                  <wp:posOffset>156210</wp:posOffset>
                </wp:positionV>
                <wp:extent cx="5334000" cy="2447290"/>
                <wp:effectExtent l="4445" t="4445" r="8255" b="12065"/>
                <wp:wrapNone/>
                <wp:docPr id="1" name="文本框 1"/>
                <wp:cNvGraphicFramePr/>
                <a:graphic xmlns:a="http://schemas.openxmlformats.org/drawingml/2006/main">
                  <a:graphicData uri="http://schemas.microsoft.com/office/word/2010/wordprocessingShape">
                    <wps:wsp>
                      <wps:cNvSpPr txBox="1"/>
                      <wps:spPr>
                        <a:xfrm>
                          <a:off x="0" y="0"/>
                          <a:ext cx="5334000" cy="2447290"/>
                        </a:xfrm>
                        <a:prstGeom prst="rect">
                          <a:avLst/>
                        </a:prstGeom>
                        <a:solidFill>
                          <a:srgbClr val="FFFFFF"/>
                        </a:solidFill>
                        <a:ln w="635">
                          <a:solidFill>
                            <a:srgbClr val="000000"/>
                          </a:solidFill>
                        </a:ln>
                      </wps:spPr>
                      <wps:txb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4</w:t>
                            </w:r>
                            <w:r>
                              <w:rPr>
                                <w:rFonts w:hint="eastAsia" w:ascii="黑体" w:hAnsi="黑体" w:eastAsia="黑体" w:cs="黑体"/>
                                <w:color w:val="000000"/>
                                <w:u w:val="single"/>
                              </w:rPr>
                              <w:t xml:space="preserve">.0_需求规格说明书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4.0</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wps:txbx>
                      <wps:bodyPr lIns="91440" tIns="45720" rIns="91440" bIns="45720" anchor="t">
                        <a:noAutofit/>
                      </wps:bodyPr>
                    </wps:wsp>
                  </a:graphicData>
                </a:graphic>
              </wp:anchor>
            </w:drawing>
          </mc:Choice>
          <mc:Fallback>
            <w:pict>
              <v:shape id="_x0000_s1026" o:spid="_x0000_s1026" o:spt="202" type="#_x0000_t202" style="position:absolute;left:0pt;margin-left:36.6pt;margin-top:12.3pt;height:192.7pt;width:420pt;z-index:1024;mso-width-relative:page;mso-height-relative:page;" fillcolor="#FFFFFF" filled="t" stroked="t" coordsize="21600,21600" o:gfxdata="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Osv1y1wAAAAkBAAAPAAAAAAAAAAEA&#10;IAAAACIAAABkcnMvZG93bnJldi54bWxQSwECFAAUAAAACACHTuJATfRYV9cBAACoAwAADgAAAAAA&#10;AAABACAAAAAmAQAAZHJzL2Uyb0RvYy54bWxQSwUGAAAAAAYABgBZAQAAbwUAAAAA&#10;">
                <v:fill on="t" focussize="0,0"/>
                <v:stroke weight="0.05pt" color="#000000" joinstyle="round"/>
                <v:imagedata o:title=""/>
                <o:lock v:ext="edit" aspectratio="f"/>
                <v:textbo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4</w:t>
                      </w:r>
                      <w:r>
                        <w:rPr>
                          <w:rFonts w:hint="eastAsia" w:ascii="黑体" w:hAnsi="黑体" w:eastAsia="黑体" w:cs="黑体"/>
                          <w:color w:val="000000"/>
                          <w:u w:val="single"/>
                        </w:rPr>
                        <w:t xml:space="preserve">.0_需求规格说明书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4.0</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v:textbox>
              </v:shape>
            </w:pict>
          </mc:Fallback>
        </mc:AlternateContent>
      </w: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pStyle w:val="2"/>
        <w:jc w:val="center"/>
        <w:rPr>
          <w:rFonts w:hint="eastAsia" w:ascii="黑体" w:hAnsi="黑体" w:eastAsia="黑体" w:cs="黑体"/>
          <w:sz w:val="36"/>
          <w:szCs w:val="36"/>
          <w:lang w:val="en-US" w:eastAsia="zh-CN"/>
        </w:rPr>
      </w:pPr>
      <w:bookmarkStart w:id="3" w:name="_Toc29727"/>
      <w:bookmarkStart w:id="4" w:name="_Toc15308"/>
      <w:bookmarkStart w:id="5" w:name="_Toc21290"/>
      <w:bookmarkStart w:id="6" w:name="_Toc26808"/>
      <w:r>
        <w:rPr>
          <w:rFonts w:hint="eastAsia" w:ascii="黑体" w:hAnsi="黑体" w:eastAsia="黑体" w:cs="黑体"/>
          <w:sz w:val="36"/>
          <w:szCs w:val="36"/>
          <w:lang w:val="en-US" w:eastAsia="zh-CN"/>
        </w:rPr>
        <w:t>修订记录</w:t>
      </w:r>
      <w:bookmarkEnd w:id="3"/>
      <w:bookmarkEnd w:id="4"/>
      <w:bookmarkEnd w:id="5"/>
      <w:bookmarkEnd w:id="6"/>
    </w:p>
    <w:tbl>
      <w:tblPr>
        <w:tblStyle w:val="13"/>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2018-01-19</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新建MPGS V2.4.0需求文档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2018-02-18</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修改地图配置对应关系展现方式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V1.2.0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2018-03-12</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修改3.2.3参数设置</w:t>
            </w: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修订状态：A--增加，M--修改，D--删除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日期格式：YYYY-MM-DD</w:t>
      </w:r>
    </w:p>
    <w:p>
      <w:pPr>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7" w:name="_Toc21089"/>
      <w:bookmarkStart w:id="8" w:name="_Toc29388"/>
      <w:bookmarkStart w:id="9" w:name="_Toc9763"/>
      <w:r>
        <w:rPr>
          <w:rFonts w:hint="eastAsia" w:ascii="黑体" w:hAnsi="黑体" w:eastAsia="黑体" w:cs="黑体"/>
          <w:sz w:val="36"/>
          <w:szCs w:val="36"/>
          <w:lang w:val="en-US" w:eastAsia="zh-CN"/>
        </w:rPr>
        <w:t>目录</w:t>
      </w:r>
      <w:bookmarkEnd w:id="7"/>
      <w:bookmarkEnd w:id="8"/>
      <w:bookmarkEnd w:id="9"/>
    </w:p>
    <w:p>
      <w:pPr>
        <w:pStyle w:val="8"/>
        <w:tabs>
          <w:tab w:val="right" w:leader="dot" w:pos="9746"/>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_Toc30198 </w:instrText>
      </w:r>
      <w:r>
        <w:rPr>
          <w:rFonts w:hint="eastAsia"/>
          <w:lang w:val="en-US" w:eastAsia="zh-CN"/>
        </w:rPr>
        <w:fldChar w:fldCharType="separate"/>
      </w:r>
      <w:r>
        <w:rPr>
          <w:rFonts w:hint="eastAsia" w:ascii="黑体" w:hAnsi="黑体" w:eastAsia="黑体" w:cs="黑体"/>
          <w:szCs w:val="44"/>
          <w:lang w:val="en-US" w:eastAsia="zh-CN"/>
        </w:rPr>
        <w:t>MPGS V2.4.0</w:t>
      </w:r>
      <w:r>
        <w:tab/>
      </w:r>
      <w:r>
        <w:fldChar w:fldCharType="begin"/>
      </w:r>
      <w:r>
        <w:instrText xml:space="preserve"> PAGEREF _Toc30198 </w:instrText>
      </w:r>
      <w:r>
        <w:fldChar w:fldCharType="separate"/>
      </w:r>
      <w:r>
        <w:t>1</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_Toc26808 </w:instrText>
      </w:r>
      <w:r>
        <w:rPr>
          <w:rFonts w:hint="eastAsia"/>
          <w:lang w:val="en-US" w:eastAsia="zh-CN"/>
        </w:rPr>
        <w:fldChar w:fldCharType="separate"/>
      </w:r>
      <w:r>
        <w:rPr>
          <w:rFonts w:hint="eastAsia" w:ascii="黑体" w:hAnsi="黑体" w:eastAsia="黑体" w:cs="黑体"/>
          <w:szCs w:val="36"/>
          <w:lang w:val="en-US" w:eastAsia="zh-CN"/>
        </w:rPr>
        <w:t>修订记录</w:t>
      </w:r>
      <w:r>
        <w:tab/>
      </w:r>
      <w:r>
        <w:fldChar w:fldCharType="begin"/>
      </w:r>
      <w:r>
        <w:instrText xml:space="preserve"> PAGEREF _Toc26808 </w:instrText>
      </w:r>
      <w:r>
        <w:fldChar w:fldCharType="separate"/>
      </w:r>
      <w:r>
        <w:t>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_Toc9763 </w:instrText>
      </w:r>
      <w:r>
        <w:rPr>
          <w:rFonts w:hint="eastAsia"/>
          <w:lang w:val="en-US" w:eastAsia="zh-CN"/>
        </w:rPr>
        <w:fldChar w:fldCharType="separate"/>
      </w:r>
      <w:r>
        <w:rPr>
          <w:rFonts w:hint="eastAsia" w:ascii="黑体" w:hAnsi="黑体" w:eastAsia="黑体" w:cs="黑体"/>
          <w:szCs w:val="36"/>
          <w:lang w:val="en-US" w:eastAsia="zh-CN"/>
        </w:rPr>
        <w:t>目录</w:t>
      </w:r>
      <w:r>
        <w:tab/>
      </w:r>
      <w:r>
        <w:fldChar w:fldCharType="begin"/>
      </w:r>
      <w:r>
        <w:instrText xml:space="preserve"> PAGEREF _Toc9763 </w:instrText>
      </w:r>
      <w:r>
        <w:fldChar w:fldCharType="separate"/>
      </w:r>
      <w:r>
        <w:t>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_Toc21183 </w:instrText>
      </w:r>
      <w:r>
        <w:rPr>
          <w:rFonts w:hint="eastAsia"/>
          <w:lang w:val="en-US" w:eastAsia="zh-CN"/>
        </w:rPr>
        <w:fldChar w:fldCharType="separate"/>
      </w:r>
      <w:r>
        <w:rPr>
          <w:rFonts w:hint="eastAsia" w:ascii="黑体" w:hAnsi="黑体" w:eastAsia="黑体" w:cs="黑体"/>
          <w:bCs/>
          <w:szCs w:val="36"/>
          <w:lang w:val="en-US" w:eastAsia="zh-CN"/>
        </w:rPr>
        <w:t>全局说明</w:t>
      </w:r>
      <w:r>
        <w:tab/>
      </w:r>
      <w:r>
        <w:fldChar w:fldCharType="begin"/>
      </w:r>
      <w:r>
        <w:instrText xml:space="preserve"> PAGEREF _Toc21183 </w:instrText>
      </w:r>
      <w:r>
        <w:fldChar w:fldCharType="separate"/>
      </w:r>
      <w:r>
        <w:t>6</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_Toc27777 </w:instrText>
      </w:r>
      <w:r>
        <w:rPr>
          <w:rFonts w:hint="eastAsia"/>
          <w:lang w:val="en-US" w:eastAsia="zh-CN"/>
        </w:rPr>
        <w:fldChar w:fldCharType="separate"/>
      </w:r>
      <w:r>
        <w:rPr>
          <w:rFonts w:hint="eastAsia" w:ascii="黑体" w:hAnsi="黑体" w:eastAsia="黑体" w:cs="黑体"/>
          <w:lang w:val="en-US" w:eastAsia="zh-CN"/>
        </w:rPr>
        <w:t>1.目的</w:t>
      </w:r>
      <w:r>
        <w:tab/>
      </w:r>
      <w:r>
        <w:fldChar w:fldCharType="begin"/>
      </w:r>
      <w:r>
        <w:instrText xml:space="preserve"> PAGEREF _Toc27777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_Toc5608 </w:instrText>
      </w:r>
      <w:r>
        <w:rPr>
          <w:rFonts w:hint="eastAsia"/>
          <w:lang w:val="en-US" w:eastAsia="zh-CN"/>
        </w:rPr>
        <w:fldChar w:fldCharType="separate"/>
      </w:r>
      <w:r>
        <w:rPr>
          <w:rFonts w:hint="eastAsia" w:ascii="黑体" w:hAnsi="黑体" w:eastAsia="黑体" w:cs="黑体"/>
          <w:lang w:val="en-US" w:eastAsia="zh-CN"/>
        </w:rPr>
        <w:t>1.1背景</w:t>
      </w:r>
      <w:r>
        <w:tab/>
      </w:r>
      <w:r>
        <w:fldChar w:fldCharType="begin"/>
      </w:r>
      <w:r>
        <w:instrText xml:space="preserve"> PAGEREF _Toc5608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_Toc30045 </w:instrText>
      </w:r>
      <w:r>
        <w:rPr>
          <w:rFonts w:hint="eastAsia"/>
          <w:lang w:val="en-US" w:eastAsia="zh-CN"/>
        </w:rPr>
        <w:fldChar w:fldCharType="separate"/>
      </w:r>
      <w:r>
        <w:rPr>
          <w:rFonts w:hint="eastAsia" w:ascii="黑体" w:hAnsi="黑体" w:eastAsia="黑体" w:cs="黑体"/>
          <w:szCs w:val="22"/>
          <w:lang w:val="en-US" w:eastAsia="zh-CN"/>
        </w:rPr>
        <w:t>1.2目的</w:t>
      </w:r>
      <w:r>
        <w:tab/>
      </w:r>
      <w:r>
        <w:fldChar w:fldCharType="begin"/>
      </w:r>
      <w:r>
        <w:instrText xml:space="preserve"> PAGEREF _Toc30045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_Toc17645 </w:instrText>
      </w:r>
      <w:r>
        <w:rPr>
          <w:rFonts w:hint="eastAsia"/>
          <w:lang w:val="en-US" w:eastAsia="zh-CN"/>
        </w:rP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_Toc17645 </w:instrText>
      </w:r>
      <w:r>
        <w:fldChar w:fldCharType="separate"/>
      </w:r>
      <w:r>
        <w:t>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_Toc18853 </w:instrText>
      </w:r>
      <w:r>
        <w:rPr>
          <w:rFonts w:hint="eastAsia"/>
          <w:lang w:val="en-US" w:eastAsia="zh-CN"/>
        </w:rPr>
        <w:fldChar w:fldCharType="separate"/>
      </w:r>
      <w:r>
        <w:rPr>
          <w:rFonts w:hint="eastAsia" w:ascii="黑体" w:hAnsi="黑体" w:eastAsia="黑体" w:cs="黑体"/>
          <w:szCs w:val="22"/>
          <w:lang w:val="en-US" w:eastAsia="zh-CN"/>
        </w:rPr>
        <w:t>2.关键业务流程</w:t>
      </w:r>
      <w:r>
        <w:tab/>
      </w:r>
      <w:r>
        <w:fldChar w:fldCharType="begin"/>
      </w:r>
      <w:r>
        <w:instrText xml:space="preserve"> PAGEREF _Toc18853 </w:instrText>
      </w:r>
      <w:r>
        <w:fldChar w:fldCharType="separate"/>
      </w:r>
      <w:r>
        <w:t>9</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_Toc27062 </w:instrText>
      </w:r>
      <w:r>
        <w:rPr>
          <w:rFonts w:hint="eastAsia"/>
          <w:lang w:val="en-US" w:eastAsia="zh-CN"/>
        </w:rPr>
        <w:fldChar w:fldCharType="separate"/>
      </w:r>
      <w:r>
        <w:rPr>
          <w:rFonts w:hint="eastAsia" w:ascii="黑体" w:hAnsi="黑体" w:eastAsia="黑体" w:cs="黑体"/>
          <w:szCs w:val="22"/>
          <w:lang w:val="en-US" w:eastAsia="zh-CN"/>
        </w:rPr>
        <w:t>3.具体需求内容</w:t>
      </w:r>
      <w:r>
        <w:tab/>
      </w:r>
      <w:r>
        <w:fldChar w:fldCharType="begin"/>
      </w:r>
      <w:r>
        <w:instrText xml:space="preserve"> PAGEREF _Toc27062 </w:instrText>
      </w:r>
      <w:r>
        <w:fldChar w:fldCharType="separate"/>
      </w:r>
      <w:r>
        <w:t>9</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_Toc9607 </w:instrText>
      </w:r>
      <w:r>
        <w:rPr>
          <w:rFonts w:hint="eastAsia"/>
          <w:lang w:val="en-US" w:eastAsia="zh-CN"/>
        </w:rPr>
        <w:fldChar w:fldCharType="separate"/>
      </w:r>
      <w:r>
        <w:rPr>
          <w:rFonts w:hint="eastAsia" w:ascii="黑体" w:hAnsi="黑体" w:eastAsia="黑体" w:cs="黑体"/>
          <w:szCs w:val="22"/>
          <w:lang w:val="en-US" w:eastAsia="zh-CN"/>
        </w:rPr>
        <w:t>3.1总体功能点</w:t>
      </w:r>
      <w:r>
        <w:tab/>
      </w:r>
      <w:r>
        <w:fldChar w:fldCharType="begin"/>
      </w:r>
      <w:r>
        <w:instrText xml:space="preserve"> PAGEREF _Toc9607 </w:instrText>
      </w:r>
      <w:r>
        <w:fldChar w:fldCharType="separate"/>
      </w:r>
      <w:r>
        <w:t>9</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_Toc27132 </w:instrText>
      </w:r>
      <w:r>
        <w:rPr>
          <w:rFonts w:hint="eastAsia"/>
          <w:lang w:val="en-US" w:eastAsia="zh-CN"/>
        </w:rPr>
        <w:fldChar w:fldCharType="separate"/>
      </w:r>
      <w:r>
        <w:rPr>
          <w:rFonts w:hint="eastAsia" w:ascii="黑体" w:hAnsi="黑体" w:eastAsia="黑体" w:cs="黑体"/>
          <w:szCs w:val="22"/>
          <w:lang w:val="en-US" w:eastAsia="zh-CN"/>
        </w:rPr>
        <w:t>3.2功能点描述</w:t>
      </w:r>
      <w:r>
        <w:tab/>
      </w:r>
      <w:r>
        <w:fldChar w:fldCharType="begin"/>
      </w:r>
      <w:r>
        <w:instrText xml:space="preserve"> PAGEREF _Toc27132 </w:instrText>
      </w:r>
      <w:r>
        <w:fldChar w:fldCharType="separate"/>
      </w:r>
      <w:r>
        <w:t>9</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_Toc4369 </w:instrText>
      </w:r>
      <w:r>
        <w:rPr>
          <w:rFonts w:hint="eastAsia"/>
          <w:lang w:val="en-US" w:eastAsia="zh-CN"/>
        </w:rPr>
        <w:fldChar w:fldCharType="separate"/>
      </w:r>
      <w:r>
        <w:rPr>
          <w:rFonts w:hint="eastAsia" w:ascii="黑体" w:hAnsi="黑体" w:eastAsia="黑体" w:cs="黑体"/>
          <w:szCs w:val="30"/>
          <w:lang w:val="en-US" w:eastAsia="zh-CN"/>
        </w:rPr>
        <w:t>3.2.1地图编辑器增加不同类型车位元素</w:t>
      </w:r>
      <w:r>
        <w:tab/>
      </w:r>
      <w:r>
        <w:fldChar w:fldCharType="begin"/>
      </w:r>
      <w:r>
        <w:instrText xml:space="preserve"> PAGEREF _Toc4369 </w:instrText>
      </w:r>
      <w:r>
        <w:fldChar w:fldCharType="separate"/>
      </w:r>
      <w:r>
        <w:t>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_Toc27109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_Toc27109 </w:instrText>
      </w:r>
      <w:r>
        <w:fldChar w:fldCharType="separate"/>
      </w:r>
      <w:r>
        <w:t>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_Toc13022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_Toc13022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_Toc25732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_Toc25732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_Toc21775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_Toc21775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_Toc12649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_Toc12649 </w:instrText>
      </w:r>
      <w:r>
        <w:fldChar w:fldCharType="separate"/>
      </w:r>
      <w:r>
        <w:t>11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_Toc5918 </w:instrText>
      </w:r>
      <w:r>
        <w:rPr>
          <w:rFonts w:hint="eastAsia"/>
          <w:lang w:val="en-US" w:eastAsia="zh-CN"/>
        </w:rPr>
        <w:fldChar w:fldCharType="separate"/>
      </w:r>
      <w:r>
        <w:rPr>
          <w:rFonts w:hint="eastAsia" w:ascii="黑体" w:hAnsi="黑体" w:eastAsia="黑体" w:cs="黑体"/>
          <w:szCs w:val="30"/>
          <w:lang w:val="en-US" w:eastAsia="zh-CN"/>
        </w:rPr>
        <w:t>3.2.2 MPGS地图配置修改</w:t>
      </w:r>
      <w:r>
        <w:tab/>
      </w:r>
      <w:r>
        <w:fldChar w:fldCharType="begin"/>
      </w:r>
      <w:r>
        <w:instrText xml:space="preserve"> PAGEREF _Toc5918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_Toc10146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_Toc10146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_Toc23384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_Toc23384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_Toc20961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_Toc20961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_Toc13558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_Toc13558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_Toc1180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_Toc1180 </w:instrText>
      </w:r>
      <w:r>
        <w:fldChar w:fldCharType="separate"/>
      </w:r>
      <w:r>
        <w:t>14</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_Toc1069 </w:instrText>
      </w:r>
      <w:r>
        <w:rPr>
          <w:rFonts w:hint="eastAsia"/>
          <w:lang w:val="en-US" w:eastAsia="zh-CN"/>
        </w:rPr>
        <w:fldChar w:fldCharType="separate"/>
      </w:r>
      <w:r>
        <w:rPr>
          <w:rFonts w:hint="eastAsia" w:ascii="黑体" w:hAnsi="黑体" w:eastAsia="黑体" w:cs="黑体"/>
          <w:szCs w:val="30"/>
          <w:lang w:val="en-US" w:eastAsia="zh-CN"/>
        </w:rPr>
        <w:t>3.2.3 MPGS增加蒙版配置引导</w:t>
      </w:r>
      <w:r>
        <w:tab/>
      </w:r>
      <w:r>
        <w:fldChar w:fldCharType="begin"/>
      </w:r>
      <w:r>
        <w:instrText xml:space="preserve"> PAGEREF _Toc1069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_Toc28258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_Toc28258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_Toc6073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_Toc6073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_Toc15299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_Toc15299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_Toc10147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_Toc10147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_Toc29558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_Toc29558 </w:instrText>
      </w:r>
      <w:r>
        <w:fldChar w:fldCharType="separate"/>
      </w:r>
      <w:r>
        <w:t>22</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_Toc23382 </w:instrText>
      </w:r>
      <w:r>
        <w:rPr>
          <w:rFonts w:hint="eastAsia"/>
          <w:lang w:val="en-US" w:eastAsia="zh-CN"/>
        </w:rPr>
        <w:fldChar w:fldCharType="separate"/>
      </w:r>
      <w:r>
        <w:rPr>
          <w:rFonts w:hint="eastAsia" w:ascii="黑体" w:hAnsi="黑体" w:eastAsia="黑体" w:cs="黑体"/>
          <w:szCs w:val="30"/>
          <w:lang w:val="en-US" w:eastAsia="zh-CN"/>
        </w:rPr>
        <w:t>3.2.4 增加车位上报流水接口</w:t>
      </w:r>
      <w:r>
        <w:tab/>
      </w:r>
      <w:r>
        <w:fldChar w:fldCharType="begin"/>
      </w:r>
      <w:r>
        <w:instrText xml:space="preserve"> PAGEREF _Toc23382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_Toc5278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_Toc5278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_Toc23871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_Toc23871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_Toc4196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_Toc4196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_Toc20618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_Toc20618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_Toc16708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_Toc16708 </w:instrText>
      </w:r>
      <w:r>
        <w:fldChar w:fldCharType="separate"/>
      </w:r>
      <w:r>
        <w:t>23</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_Toc25026 </w:instrText>
      </w:r>
      <w:r>
        <w:rPr>
          <w:rFonts w:hint="eastAsia"/>
          <w:lang w:val="en-US" w:eastAsia="zh-CN"/>
        </w:rPr>
        <w:fldChar w:fldCharType="separate"/>
      </w:r>
      <w:r>
        <w:rPr>
          <w:rFonts w:hint="eastAsia" w:ascii="黑体" w:hAnsi="黑体" w:eastAsia="黑体" w:cs="黑体"/>
          <w:szCs w:val="30"/>
          <w:lang w:val="en-US" w:eastAsia="zh-CN"/>
        </w:rPr>
        <w:t>3.2.5 地图编辑器单个元素右键增量更新</w:t>
      </w:r>
      <w:r>
        <w:tab/>
      </w:r>
      <w:r>
        <w:fldChar w:fldCharType="begin"/>
      </w:r>
      <w:r>
        <w:instrText xml:space="preserve"> PAGEREF _Toc25026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_Toc21938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r>
        <w:tab/>
      </w:r>
      <w:r>
        <w:fldChar w:fldCharType="begin"/>
      </w:r>
      <w:r>
        <w:instrText xml:space="preserve"> PAGEREF _Toc21938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_Toc12628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r>
        <w:tab/>
      </w:r>
      <w:r>
        <w:fldChar w:fldCharType="begin"/>
      </w:r>
      <w:r>
        <w:instrText xml:space="preserve"> PAGEREF _Toc12628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_Toc4362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r>
        <w:tab/>
      </w:r>
      <w:r>
        <w:fldChar w:fldCharType="begin"/>
      </w:r>
      <w:r>
        <w:instrText xml:space="preserve"> PAGEREF _Toc4362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_Toc3910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_Toc3910 </w:instrText>
      </w:r>
      <w:r>
        <w:fldChar w:fldCharType="separate"/>
      </w:r>
      <w:r>
        <w:t>24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_Toc7401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_Toc7401 </w:instrText>
      </w:r>
      <w:r>
        <w:fldChar w:fldCharType="separate"/>
      </w:r>
      <w:r>
        <w:t>24</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_Toc31146 </w:instrText>
      </w:r>
      <w:r>
        <w:rPr>
          <w:rFonts w:hint="eastAsia"/>
          <w:lang w:val="en-US" w:eastAsia="zh-CN"/>
        </w:rPr>
        <w:fldChar w:fldCharType="separate"/>
      </w:r>
      <w:r>
        <w:rPr>
          <w:rFonts w:hint="eastAsia" w:ascii="黑体" w:hAnsi="黑体" w:eastAsia="黑体" w:cs="黑体"/>
          <w:szCs w:val="30"/>
          <w:lang w:val="en-US" w:eastAsia="zh-CN"/>
        </w:rPr>
        <w:t>3.2.6 增加反向寻车导航路线图片接口</w:t>
      </w:r>
      <w:r>
        <w:tab/>
      </w:r>
      <w:r>
        <w:fldChar w:fldCharType="begin"/>
      </w:r>
      <w:r>
        <w:instrText xml:space="preserve"> PAGEREF _Toc31146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_Toc13918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r>
        <w:tab/>
      </w:r>
      <w:r>
        <w:fldChar w:fldCharType="begin"/>
      </w:r>
      <w:r>
        <w:instrText xml:space="preserve"> PAGEREF _Toc13918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_Toc7050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r>
        <w:tab/>
      </w:r>
      <w:r>
        <w:fldChar w:fldCharType="begin"/>
      </w:r>
      <w:r>
        <w:instrText xml:space="preserve"> PAGEREF _Toc7050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_Toc7576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r>
        <w:tab/>
      </w:r>
      <w:r>
        <w:fldChar w:fldCharType="begin"/>
      </w:r>
      <w:r>
        <w:instrText xml:space="preserve"> PAGEREF _Toc7576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_Toc14442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r>
        <w:tab/>
      </w:r>
      <w:r>
        <w:fldChar w:fldCharType="begin"/>
      </w:r>
      <w:r>
        <w:instrText xml:space="preserve"> PAGEREF _Toc14442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_Toc9203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r>
        <w:tab/>
      </w:r>
      <w:r>
        <w:fldChar w:fldCharType="begin"/>
      </w:r>
      <w:r>
        <w:instrText xml:space="preserve"> PAGEREF _Toc9203 </w:instrText>
      </w:r>
      <w:r>
        <w:fldChar w:fldCharType="separate"/>
      </w:r>
      <w:r>
        <w:t>25</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_Toc4235 </w:instrText>
      </w:r>
      <w:r>
        <w:rPr>
          <w:rFonts w:hint="eastAsia"/>
          <w:lang w:val="en-US" w:eastAsia="zh-CN"/>
        </w:rPr>
        <w:fldChar w:fldCharType="separate"/>
      </w:r>
      <w:r>
        <w:rPr>
          <w:rFonts w:hint="eastAsia" w:ascii="黑体" w:hAnsi="黑体" w:eastAsia="黑体" w:cs="黑体"/>
          <w:szCs w:val="30"/>
          <w:lang w:val="en-US" w:eastAsia="zh-CN"/>
        </w:rPr>
        <w:t>3.2.7 车位状态接口增加车位最后一张图片、时间查询和无牌车查询</w:t>
      </w:r>
      <w:r>
        <w:tab/>
      </w:r>
      <w:r>
        <w:fldChar w:fldCharType="begin"/>
      </w:r>
      <w:r>
        <w:instrText xml:space="preserve"> PAGEREF _Toc4235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_Toc21403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r>
        <w:tab/>
      </w:r>
      <w:r>
        <w:fldChar w:fldCharType="begin"/>
      </w:r>
      <w:r>
        <w:instrText xml:space="preserve"> PAGEREF _Toc21403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_Toc27795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r>
        <w:tab/>
      </w:r>
      <w:r>
        <w:fldChar w:fldCharType="begin"/>
      </w:r>
      <w:r>
        <w:instrText xml:space="preserve"> PAGEREF _Toc27795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_Toc17695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r>
        <w:tab/>
      </w:r>
      <w:r>
        <w:fldChar w:fldCharType="begin"/>
      </w:r>
      <w:r>
        <w:instrText xml:space="preserve"> PAGEREF _Toc17695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_Toc13140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r>
        <w:tab/>
      </w:r>
      <w:r>
        <w:fldChar w:fldCharType="begin"/>
      </w:r>
      <w:r>
        <w:instrText xml:space="preserve"> PAGEREF _Toc13140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_Toc6813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r>
        <w:tab/>
      </w:r>
      <w:r>
        <w:fldChar w:fldCharType="begin"/>
      </w:r>
      <w:r>
        <w:instrText xml:space="preserve"> PAGEREF _Toc6813 </w:instrText>
      </w:r>
      <w:r>
        <w:fldChar w:fldCharType="separate"/>
      </w:r>
      <w:r>
        <w:t>26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_Toc17077 </w:instrText>
      </w:r>
      <w:r>
        <w:rPr>
          <w:rFonts w:hint="eastAsia"/>
          <w:lang w:val="en-US" w:eastAsia="zh-CN"/>
        </w:rPr>
        <w:fldChar w:fldCharType="separate"/>
      </w:r>
      <w:r>
        <w:rPr>
          <w:rFonts w:hint="eastAsia" w:ascii="黑体" w:hAnsi="黑体" w:eastAsia="黑体" w:cs="黑体"/>
          <w:szCs w:val="30"/>
          <w:lang w:val="en-US" w:eastAsia="zh-CN"/>
        </w:rPr>
        <w:t>3.2.8 增加支持查询引导屏的下发列表</w:t>
      </w:r>
      <w:r>
        <w:tab/>
      </w:r>
      <w:r>
        <w:fldChar w:fldCharType="begin"/>
      </w:r>
      <w:r>
        <w:instrText xml:space="preserve"> PAGEREF _Toc17077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_Toc5505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r>
        <w:tab/>
      </w:r>
      <w:r>
        <w:fldChar w:fldCharType="begin"/>
      </w:r>
      <w:r>
        <w:instrText xml:space="preserve"> PAGEREF _Toc5505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_Toc19734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r>
        <w:tab/>
      </w:r>
      <w:r>
        <w:fldChar w:fldCharType="begin"/>
      </w:r>
      <w:r>
        <w:instrText xml:space="preserve"> PAGEREF _Toc19734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_Toc8924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r>
        <w:tab/>
      </w:r>
      <w:r>
        <w:fldChar w:fldCharType="begin"/>
      </w:r>
      <w:r>
        <w:instrText xml:space="preserve"> PAGEREF _Toc8924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_Toc18086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r>
        <w:tab/>
      </w:r>
      <w:r>
        <w:fldChar w:fldCharType="begin"/>
      </w:r>
      <w:r>
        <w:instrText xml:space="preserve"> PAGEREF _Toc18086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_Toc23526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r>
        <w:tab/>
      </w:r>
      <w:r>
        <w:fldChar w:fldCharType="begin"/>
      </w:r>
      <w:r>
        <w:instrText xml:space="preserve"> PAGEREF _Toc23526 </w:instrText>
      </w:r>
      <w:r>
        <w:fldChar w:fldCharType="separate"/>
      </w:r>
      <w:r>
        <w:t>27</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_Toc2683 </w:instrText>
      </w:r>
      <w:r>
        <w:rPr>
          <w:rFonts w:hint="eastAsia"/>
          <w:lang w:val="en-US" w:eastAsia="zh-CN"/>
        </w:rPr>
        <w:fldChar w:fldCharType="separate"/>
      </w:r>
      <w:r>
        <w:rPr>
          <w:rFonts w:hint="eastAsia" w:ascii="黑体" w:hAnsi="黑体" w:eastAsia="黑体" w:cs="黑体"/>
          <w:szCs w:val="30"/>
          <w:lang w:val="en-US" w:eastAsia="zh-CN"/>
        </w:rPr>
        <w:t>3.2.9 寻车H5页面增加版权说明</w:t>
      </w:r>
      <w:r>
        <w:tab/>
      </w:r>
      <w:r>
        <w:fldChar w:fldCharType="begin"/>
      </w:r>
      <w:r>
        <w:instrText xml:space="preserve"> PAGEREF _Toc2683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_Toc9004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r>
        <w:tab/>
      </w:r>
      <w:r>
        <w:fldChar w:fldCharType="begin"/>
      </w:r>
      <w:r>
        <w:instrText xml:space="preserve"> PAGEREF _Toc9004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_Toc23927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r>
        <w:tab/>
      </w:r>
      <w:r>
        <w:fldChar w:fldCharType="begin"/>
      </w:r>
      <w:r>
        <w:instrText xml:space="preserve"> PAGEREF _Toc23927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_Toc3181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r>
        <w:tab/>
      </w:r>
      <w:r>
        <w:fldChar w:fldCharType="begin"/>
      </w:r>
      <w:r>
        <w:instrText xml:space="preserve"> PAGEREF _Toc3181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_Toc25912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_Toc25912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_Toc27711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_Toc27711 </w:instrText>
      </w:r>
      <w:r>
        <w:fldChar w:fldCharType="separate"/>
      </w:r>
      <w:r>
        <w:t>29</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_Toc7078 </w:instrText>
      </w:r>
      <w:r>
        <w:rPr>
          <w:rFonts w:hint="eastAsia"/>
          <w:lang w:val="en-US" w:eastAsia="zh-CN"/>
        </w:rPr>
        <w:fldChar w:fldCharType="separate"/>
      </w:r>
      <w:r>
        <w:rPr>
          <w:rFonts w:hint="eastAsia" w:ascii="黑体" w:hAnsi="黑体" w:eastAsia="黑体" w:cs="黑体"/>
          <w:szCs w:val="30"/>
          <w:lang w:val="en-US" w:eastAsia="zh-CN"/>
        </w:rPr>
        <w:t>3.2.10 区域可以查询其所属车位列表信息</w:t>
      </w:r>
      <w:r>
        <w:tab/>
      </w:r>
      <w:r>
        <w:fldChar w:fldCharType="begin"/>
      </w:r>
      <w:r>
        <w:instrText xml:space="preserve"> PAGEREF _Toc7078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_Toc5610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r>
        <w:tab/>
      </w:r>
      <w:r>
        <w:fldChar w:fldCharType="begin"/>
      </w:r>
      <w:r>
        <w:instrText xml:space="preserve"> PAGEREF _Toc5610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_Toc19426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r>
        <w:tab/>
      </w:r>
      <w:r>
        <w:fldChar w:fldCharType="begin"/>
      </w:r>
      <w:r>
        <w:instrText xml:space="preserve"> PAGEREF _Toc19426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_Toc16675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r>
        <w:tab/>
      </w:r>
      <w:r>
        <w:fldChar w:fldCharType="begin"/>
      </w:r>
      <w:r>
        <w:instrText xml:space="preserve"> PAGEREF _Toc16675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_Toc19349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r>
        <w:tab/>
      </w:r>
      <w:r>
        <w:fldChar w:fldCharType="begin"/>
      </w:r>
      <w:r>
        <w:instrText xml:space="preserve"> PAGEREF _Toc19349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_Toc7817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r>
        <w:tab/>
      </w:r>
      <w:r>
        <w:fldChar w:fldCharType="begin"/>
      </w:r>
      <w:r>
        <w:instrText xml:space="preserve"> PAGEREF _Toc7817 </w:instrText>
      </w:r>
      <w:r>
        <w:fldChar w:fldCharType="separate"/>
      </w:r>
      <w:r>
        <w:t>30</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_Toc31746 </w:instrText>
      </w:r>
      <w:r>
        <w:rPr>
          <w:rFonts w:hint="eastAsia"/>
          <w:lang w:val="en-US" w:eastAsia="zh-CN"/>
        </w:rPr>
        <w:fldChar w:fldCharType="separate"/>
      </w:r>
      <w:r>
        <w:rPr>
          <w:rFonts w:hint="eastAsia" w:ascii="黑体" w:hAnsi="黑体" w:eastAsia="黑体" w:cs="黑体"/>
          <w:szCs w:val="30"/>
          <w:lang w:val="en-US" w:eastAsia="zh-CN"/>
        </w:rPr>
        <w:t>3.2.11 地图编辑器配色规范</w:t>
      </w:r>
      <w:r>
        <w:tab/>
      </w:r>
      <w:r>
        <w:fldChar w:fldCharType="begin"/>
      </w:r>
      <w:r>
        <w:instrText xml:space="preserve"> PAGEREF _Toc31746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_Toc6412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r>
        <w:tab/>
      </w:r>
      <w:r>
        <w:fldChar w:fldCharType="begin"/>
      </w:r>
      <w:r>
        <w:instrText xml:space="preserve"> PAGEREF _Toc6412 </w:instrText>
      </w:r>
      <w:r>
        <w:fldChar w:fldCharType="separate"/>
      </w:r>
      <w:r>
        <w:t>30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_Toc14395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r>
        <w:tab/>
      </w:r>
      <w:r>
        <w:fldChar w:fldCharType="begin"/>
      </w:r>
      <w:r>
        <w:instrText xml:space="preserve"> PAGEREF _Toc14395 </w:instrText>
      </w:r>
      <w:r>
        <w:fldChar w:fldCharType="separate"/>
      </w:r>
      <w:r>
        <w:t>31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_Toc29620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r>
        <w:tab/>
      </w:r>
      <w:r>
        <w:fldChar w:fldCharType="begin"/>
      </w:r>
      <w:r>
        <w:instrText xml:space="preserve"> PAGEREF _Toc29620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_Toc17003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r>
        <w:tab/>
      </w:r>
      <w:r>
        <w:fldChar w:fldCharType="begin"/>
      </w:r>
      <w:r>
        <w:instrText xml:space="preserve"> PAGEREF _Toc17003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_Toc11860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r>
        <w:tab/>
      </w:r>
      <w:r>
        <w:fldChar w:fldCharType="begin"/>
      </w:r>
      <w:r>
        <w:instrText xml:space="preserve"> PAGEREF _Toc11860 </w:instrText>
      </w:r>
      <w:r>
        <w:fldChar w:fldCharType="separate"/>
      </w:r>
      <w:r>
        <w:t>32</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_Toc4122 </w:instrText>
      </w:r>
      <w:r>
        <w:rPr>
          <w:rFonts w:hint="eastAsia"/>
          <w:lang w:val="en-US" w:eastAsia="zh-CN"/>
        </w:rPr>
        <w:fldChar w:fldCharType="separate"/>
      </w:r>
      <w:r>
        <w:rPr>
          <w:rFonts w:hint="eastAsia" w:ascii="黑体" w:hAnsi="黑体" w:eastAsia="黑体" w:cs="黑体"/>
          <w:szCs w:val="30"/>
          <w:lang w:val="en-US" w:eastAsia="zh-CN"/>
        </w:rPr>
        <w:t>3.2.12 增加视频探头解绑车位的约束</w:t>
      </w:r>
      <w:r>
        <w:tab/>
      </w:r>
      <w:r>
        <w:fldChar w:fldCharType="begin"/>
      </w:r>
      <w:r>
        <w:instrText xml:space="preserve"> PAGEREF _Toc4122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_Toc12598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r>
        <w:tab/>
      </w:r>
      <w:r>
        <w:fldChar w:fldCharType="begin"/>
      </w:r>
      <w:r>
        <w:instrText xml:space="preserve"> PAGEREF _Toc12598 </w:instrText>
      </w:r>
      <w:r>
        <w:fldChar w:fldCharType="separate"/>
      </w:r>
      <w:r>
        <w:t>32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_Toc5579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r>
        <w:tab/>
      </w:r>
      <w:r>
        <w:fldChar w:fldCharType="begin"/>
      </w:r>
      <w:r>
        <w:instrText xml:space="preserve"> PAGEREF _Toc5579 </w:instrText>
      </w:r>
      <w:r>
        <w:fldChar w:fldCharType="separate"/>
      </w:r>
      <w:r>
        <w:t>33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_Toc32448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r>
        <w:tab/>
      </w:r>
      <w:r>
        <w:fldChar w:fldCharType="begin"/>
      </w:r>
      <w:r>
        <w:instrText xml:space="preserve"> PAGEREF _Toc32448 </w:instrText>
      </w:r>
      <w:r>
        <w:fldChar w:fldCharType="separate"/>
      </w:r>
      <w:r>
        <w:t>33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_Toc29809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r>
        <w:tab/>
      </w:r>
      <w:r>
        <w:fldChar w:fldCharType="begin"/>
      </w:r>
      <w:r>
        <w:instrText xml:space="preserve"> PAGEREF _Toc29809 </w:instrText>
      </w:r>
      <w:r>
        <w:fldChar w:fldCharType="separate"/>
      </w:r>
      <w:r>
        <w:t>33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_Toc25504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r>
        <w:tab/>
      </w:r>
      <w:r>
        <w:fldChar w:fldCharType="begin"/>
      </w:r>
      <w:r>
        <w:instrText xml:space="preserve"> PAGEREF _Toc25504 </w:instrText>
      </w:r>
      <w:r>
        <w:fldChar w:fldCharType="separate"/>
      </w:r>
      <w:r>
        <w:t>33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_Toc16257 </w:instrText>
      </w:r>
      <w:r>
        <w:rPr>
          <w:rFonts w:hint="eastAsia"/>
          <w:lang w:val="en-US" w:eastAsia="zh-CN"/>
        </w:rPr>
        <w:fldChar w:fldCharType="separate"/>
      </w:r>
      <w:r>
        <w:rPr>
          <w:rFonts w:hint="eastAsia" w:ascii="黑体" w:hAnsi="黑体" w:eastAsia="黑体" w:cs="黑体"/>
          <w:szCs w:val="22"/>
          <w:lang w:val="en-US" w:eastAsia="zh-CN"/>
        </w:rPr>
        <w:t>4.非功能性需求</w:t>
      </w:r>
      <w:r>
        <w:tab/>
      </w:r>
      <w:r>
        <w:fldChar w:fldCharType="begin"/>
      </w:r>
      <w:r>
        <w:instrText xml:space="preserve"> PAGEREF _Toc16257 </w:instrText>
      </w:r>
      <w:r>
        <w:fldChar w:fldCharType="separate"/>
      </w:r>
      <w:r>
        <w:t>33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_Toc8453 </w:instrText>
      </w:r>
      <w:r>
        <w:rPr>
          <w:rFonts w:hint="eastAsia"/>
          <w:lang w:val="en-US" w:eastAsia="zh-CN"/>
        </w:rPr>
        <w:fldChar w:fldCharType="separate"/>
      </w:r>
      <w:r>
        <w:rPr>
          <w:rFonts w:hint="eastAsia" w:ascii="黑体" w:hAnsi="黑体" w:eastAsia="黑体" w:cs="黑体"/>
          <w:szCs w:val="22"/>
          <w:lang w:val="en-US" w:eastAsia="zh-CN"/>
        </w:rPr>
        <w:t>5.外部接口说明</w:t>
      </w:r>
      <w:r>
        <w:tab/>
      </w:r>
      <w:r>
        <w:fldChar w:fldCharType="begin"/>
      </w:r>
      <w:r>
        <w:instrText xml:space="preserve"> PAGEREF _Toc8453 </w:instrText>
      </w:r>
      <w:r>
        <w:fldChar w:fldCharType="separate"/>
      </w:r>
      <w:r>
        <w:t>34</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_Toc2226 </w:instrText>
      </w:r>
      <w:r>
        <w:rPr>
          <w:rFonts w:hint="eastAsia"/>
          <w:lang w:val="en-US" w:eastAsia="zh-CN"/>
        </w:rPr>
        <w:fldChar w:fldCharType="separate"/>
      </w:r>
      <w:r>
        <w:rPr>
          <w:rFonts w:hint="eastAsia" w:ascii="黑体" w:hAnsi="黑体" w:eastAsia="黑体" w:cs="黑体"/>
          <w:szCs w:val="22"/>
          <w:lang w:val="en-US" w:eastAsia="zh-CN"/>
        </w:rPr>
        <w:t>6.附件</w:t>
      </w:r>
      <w:r>
        <w:tab/>
      </w:r>
      <w:r>
        <w:fldChar w:fldCharType="begin"/>
      </w:r>
      <w:r>
        <w:instrText xml:space="preserve"> PAGEREF _Toc2226 </w:instrText>
      </w:r>
      <w:r>
        <w:fldChar w:fldCharType="separate"/>
      </w:r>
      <w:r>
        <w:t>34</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_Toc10731 </w:instrText>
      </w:r>
      <w:r>
        <w:rPr>
          <w:rFonts w:hint="eastAsia"/>
          <w:lang w:val="en-US" w:eastAsia="zh-CN"/>
        </w:rPr>
        <w:fldChar w:fldCharType="separate"/>
      </w:r>
      <w:r>
        <w:rPr>
          <w:rFonts w:hint="eastAsia" w:ascii="黑体" w:hAnsi="黑体" w:eastAsia="黑体" w:cs="黑体"/>
          <w:szCs w:val="22"/>
          <w:lang w:val="en-US" w:eastAsia="zh-CN"/>
        </w:rPr>
        <w:t>7.附录</w:t>
      </w:r>
      <w:r>
        <w:tab/>
      </w:r>
      <w:r>
        <w:fldChar w:fldCharType="begin"/>
      </w:r>
      <w:r>
        <w:instrText xml:space="preserve"> PAGEREF _Toc10731 </w:instrText>
      </w:r>
      <w:r>
        <w:fldChar w:fldCharType="separate"/>
      </w:r>
      <w:r>
        <w:t>34</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_Toc1710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_Toc1710 </w:instrText>
      </w:r>
      <w:r>
        <w:fldChar w:fldCharType="separate"/>
      </w:r>
      <w:r>
        <w:t>34</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_Toc5003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_Toc5003 </w:instrText>
      </w:r>
      <w:r>
        <w:fldChar w:fldCharType="separate"/>
      </w:r>
      <w:r>
        <w:t>35</w:t>
      </w:r>
      <w:r>
        <w:fldChar w:fldCharType="end"/>
      </w:r>
      <w:r>
        <w:rPr>
          <w:rFonts w:hint="eastAsia"/>
          <w:lang w:val="en-US" w:eastAsia="zh-CN"/>
        </w:rPr>
        <w:fldChar w:fldCharType="end"/>
      </w:r>
    </w:p>
    <w:p>
      <w:pPr>
        <w:sectPr>
          <w:pgSz w:w="11906" w:h="16838"/>
          <w:pgMar w:top="1440" w:right="1080" w:bottom="1440" w:left="1080" w:header="851" w:footer="992" w:gutter="0"/>
          <w:cols w:space="425" w:num="1"/>
          <w:docGrid w:type="lines" w:linePitch="312" w:charSpace="0"/>
        </w:sectPr>
      </w:pPr>
      <w:r>
        <w:rPr>
          <w:rFonts w:hint="eastAsia"/>
          <w:lang w:val="en-US" w:eastAsia="zh-CN"/>
        </w:rPr>
        <w:fldChar w:fldCharType="end"/>
      </w:r>
    </w:p>
    <w:p>
      <w:pPr>
        <w:pStyle w:val="2"/>
        <w:numPr>
          <w:ilvl w:val="0"/>
          <w:numId w:val="0"/>
        </w:numPr>
        <w:ind w:leftChars="0"/>
        <w:rPr>
          <w:rFonts w:hint="eastAsia" w:ascii="黑体" w:hAnsi="黑体" w:eastAsia="黑体" w:cs="黑体"/>
          <w:b/>
          <w:bCs/>
          <w:color w:val="auto"/>
          <w:sz w:val="36"/>
          <w:szCs w:val="36"/>
          <w:lang w:val="en-US" w:eastAsia="zh-CN"/>
        </w:rPr>
      </w:pPr>
      <w:bookmarkStart w:id="10" w:name="_Toc1909"/>
      <w:bookmarkStart w:id="11" w:name="_Toc23227"/>
      <w:bookmarkStart w:id="12" w:name="_Toc17589"/>
      <w:bookmarkStart w:id="13" w:name="_Toc26893"/>
      <w:bookmarkStart w:id="14" w:name="_Toc28513"/>
      <w:bookmarkStart w:id="15" w:name="_Toc21183"/>
      <w:r>
        <w:rPr>
          <w:rFonts w:hint="eastAsia" w:ascii="黑体" w:hAnsi="黑体" w:eastAsia="黑体" w:cs="黑体"/>
          <w:b/>
          <w:bCs/>
          <w:color w:val="auto"/>
          <w:sz w:val="36"/>
          <w:szCs w:val="36"/>
          <w:lang w:val="en-US" w:eastAsia="zh-CN"/>
        </w:rPr>
        <w:t>全局说明</w:t>
      </w:r>
      <w:bookmarkEnd w:id="10"/>
      <w:bookmarkEnd w:id="11"/>
      <w:bookmarkEnd w:id="12"/>
      <w:bookmarkEnd w:id="13"/>
      <w:bookmarkEnd w:id="14"/>
      <w:bookmarkEnd w:id="15"/>
    </w:p>
    <w:tbl>
      <w:tblPr>
        <w:tblStyle w:val="14"/>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6" w:name="_Toc32306"/>
            <w:bookmarkStart w:id="17" w:name="_Toc7778"/>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6"/>
      <w:bookmarkEnd w:id="17"/>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8" w:name="_Toc31429"/>
      <w:bookmarkStart w:id="19" w:name="_Toc15886"/>
      <w:bookmarkStart w:id="20" w:name="_Toc9753"/>
      <w:bookmarkStart w:id="21" w:name="_Toc2143"/>
      <w:bookmarkStart w:id="22" w:name="_Toc27777"/>
      <w:r>
        <w:rPr>
          <w:rFonts w:hint="eastAsia" w:ascii="黑体" w:hAnsi="黑体" w:eastAsia="黑体" w:cs="黑体"/>
          <w:lang w:val="en-US" w:eastAsia="zh-CN"/>
        </w:rPr>
        <w:t>1.目的</w:t>
      </w:r>
      <w:bookmarkEnd w:id="18"/>
      <w:bookmarkEnd w:id="19"/>
      <w:bookmarkEnd w:id="20"/>
      <w:bookmarkEnd w:id="21"/>
      <w:bookmarkEnd w:id="22"/>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3" w:name="_Toc19106"/>
      <w:bookmarkStart w:id="24" w:name="_Toc25502"/>
      <w:bookmarkStart w:id="25" w:name="_Toc5568"/>
      <w:bookmarkStart w:id="26" w:name="_Toc15109"/>
      <w:bookmarkStart w:id="27" w:name="_Toc5608"/>
      <w:r>
        <w:rPr>
          <w:rFonts w:hint="eastAsia" w:ascii="黑体" w:hAnsi="黑体" w:eastAsia="黑体" w:cs="黑体"/>
          <w:lang w:val="en-US" w:eastAsia="zh-CN"/>
        </w:rPr>
        <w:t>1.1背景</w:t>
      </w:r>
      <w:bookmarkEnd w:id="23"/>
      <w:bookmarkEnd w:id="24"/>
      <w:bookmarkEnd w:id="25"/>
      <w:bookmarkEnd w:id="26"/>
      <w:bookmarkEnd w:id="27"/>
    </w:p>
    <w:p>
      <w:pPr>
        <w:rPr>
          <w:rFonts w:hint="eastAsia" w:ascii="黑体" w:hAnsi="黑体" w:eastAsia="黑体" w:cs="黑体"/>
          <w:lang w:val="en-US" w:eastAsia="zh-CN"/>
        </w:rPr>
      </w:pPr>
      <w:r>
        <w:rPr>
          <w:rFonts w:hint="eastAsia" w:ascii="黑体" w:hAnsi="黑体" w:eastAsia="黑体" w:cs="黑体"/>
          <w:lang w:val="en-US" w:eastAsia="zh-CN"/>
        </w:rPr>
        <w:t>MPGS系统模块和功能的迭代需求。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8" w:name="_Toc29668"/>
      <w:bookmarkStart w:id="29" w:name="_Toc5256"/>
      <w:bookmarkStart w:id="30" w:name="_Toc20322"/>
      <w:bookmarkStart w:id="31" w:name="_Toc10609"/>
      <w:bookmarkStart w:id="32" w:name="_Toc30045"/>
      <w:r>
        <w:rPr>
          <w:rFonts w:hint="eastAsia" w:ascii="黑体" w:hAnsi="黑体" w:eastAsia="黑体" w:cs="黑体"/>
          <w:szCs w:val="22"/>
          <w:lang w:val="en-US" w:eastAsia="zh-CN"/>
        </w:rPr>
        <w:t>1.2目的</w:t>
      </w:r>
      <w:bookmarkEnd w:id="28"/>
      <w:bookmarkEnd w:id="29"/>
      <w:bookmarkEnd w:id="30"/>
      <w:bookmarkEnd w:id="31"/>
      <w:bookmarkEnd w:id="32"/>
    </w:p>
    <w:p>
      <w:pPr>
        <w:rPr>
          <w:rFonts w:hint="eastAsia" w:ascii="黑体" w:hAnsi="黑体" w:eastAsia="黑体" w:cs="黑体"/>
          <w:lang w:val="en-US" w:eastAsia="zh-CN"/>
        </w:rPr>
      </w:pPr>
      <w:r>
        <w:rPr>
          <w:rFonts w:hint="eastAsia" w:ascii="黑体" w:hAnsi="黑体" w:eastAsia="黑体" w:cs="黑体"/>
          <w:lang w:val="en-US" w:eastAsia="zh-CN"/>
        </w:rPr>
        <w:t>进一步完善MPGS系统，减轻实施过程中的痛点。</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3" w:name="_Toc24270"/>
      <w:bookmarkStart w:id="34" w:name="_Toc10744"/>
      <w:bookmarkStart w:id="35" w:name="_Toc18131"/>
      <w:bookmarkStart w:id="36" w:name="_Toc23979"/>
      <w:bookmarkStart w:id="37" w:name="_Toc17645"/>
      <w:r>
        <w:rPr>
          <w:rFonts w:hint="eastAsia" w:ascii="黑体" w:hAnsi="黑体" w:eastAsia="黑体" w:cs="黑体"/>
          <w:szCs w:val="22"/>
          <w:lang w:val="en-US" w:eastAsia="zh-CN"/>
        </w:rPr>
        <w:t>1.3需求描述与约定</w:t>
      </w:r>
      <w:bookmarkEnd w:id="33"/>
      <w:bookmarkEnd w:id="34"/>
      <w:bookmarkEnd w:id="35"/>
      <w:bookmarkEnd w:id="36"/>
      <w:bookmarkEnd w:id="37"/>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left="11" w:leftChars="0" w:right="0" w:rightChars="0"/>
        <w:textAlignment w:val="auto"/>
        <w:rPr>
          <w:rFonts w:ascii="Arial" w:hAnsi="Arial" w:cs="Arial"/>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8" w:name="_Toc26045"/>
      <w:bookmarkStart w:id="39" w:name="_Toc10993"/>
      <w:bookmarkStart w:id="40" w:name="_Toc5709"/>
      <w:bookmarkStart w:id="41" w:name="_Toc18853"/>
      <w:r>
        <w:rPr>
          <w:rFonts w:hint="eastAsia" w:ascii="黑体" w:hAnsi="黑体" w:eastAsia="黑体" w:cs="黑体"/>
          <w:szCs w:val="22"/>
          <w:lang w:val="en-US" w:eastAsia="zh-CN"/>
        </w:rPr>
        <w:t>2.关键业务流程</w:t>
      </w:r>
      <w:bookmarkEnd w:id="38"/>
      <w:bookmarkEnd w:id="39"/>
      <w:bookmarkEnd w:id="40"/>
      <w:bookmarkEnd w:id="41"/>
    </w:p>
    <w:p>
      <w:pPr>
        <w:numPr>
          <w:ilvl w:val="0"/>
          <w:numId w:val="0"/>
        </w:numPr>
        <w:tabs>
          <w:tab w:val="left" w:pos="2245"/>
        </w:tabs>
        <w:ind w:firstLine="420" w:firstLineChars="200"/>
        <w:rPr>
          <w:rFonts w:hint="eastAsia" w:ascii="黑体" w:hAnsi="黑体" w:eastAsia="黑体" w:cs="黑体"/>
          <w:szCs w:val="22"/>
          <w:lang w:val="en-US" w:eastAsia="zh-CN"/>
        </w:rPr>
      </w:pPr>
      <w:r>
        <w:rPr>
          <w:rFonts w:hint="eastAsia" w:ascii="黑体" w:hAnsi="黑体" w:eastAsia="黑体" w:cs="黑体"/>
          <w:sz w:val="21"/>
          <w:szCs w:val="21"/>
          <w:lang w:val="en-US" w:eastAsia="zh-CN"/>
        </w:rPr>
        <w:t>无。</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42" w:name="_Toc16460"/>
      <w:bookmarkStart w:id="43" w:name="_Toc27684"/>
      <w:bookmarkStart w:id="44" w:name="_Toc13346"/>
      <w:bookmarkStart w:id="45" w:name="_Toc2273"/>
      <w:bookmarkStart w:id="46" w:name="_Toc27062"/>
      <w:r>
        <w:rPr>
          <w:rFonts w:hint="eastAsia" w:ascii="黑体" w:hAnsi="黑体" w:eastAsia="黑体" w:cs="黑体"/>
          <w:szCs w:val="22"/>
          <w:lang w:val="en-US" w:eastAsia="zh-CN"/>
        </w:rPr>
        <w:t>3.具体需求内容</w:t>
      </w:r>
      <w:bookmarkEnd w:id="42"/>
      <w:bookmarkEnd w:id="43"/>
      <w:bookmarkEnd w:id="44"/>
      <w:bookmarkEnd w:id="45"/>
      <w:bookmarkEnd w:id="46"/>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7" w:name="_Toc22302"/>
      <w:bookmarkStart w:id="48" w:name="_Toc12815"/>
      <w:bookmarkStart w:id="49" w:name="_Toc2749"/>
      <w:bookmarkStart w:id="50" w:name="_Toc26890"/>
      <w:bookmarkStart w:id="51" w:name="_Toc9607"/>
      <w:r>
        <w:rPr>
          <w:rFonts w:hint="eastAsia" w:ascii="黑体" w:hAnsi="黑体" w:eastAsia="黑体" w:cs="黑体"/>
          <w:szCs w:val="22"/>
          <w:lang w:val="en-US" w:eastAsia="zh-CN"/>
        </w:rPr>
        <w:t>3.1总体功能点</w:t>
      </w:r>
      <w:bookmarkEnd w:id="47"/>
      <w:bookmarkEnd w:id="48"/>
      <w:bookmarkEnd w:id="49"/>
      <w:bookmarkEnd w:id="50"/>
      <w:bookmarkEnd w:id="51"/>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5290185" cy="3960495"/>
            <wp:effectExtent l="0" t="0" r="5715" b="1905"/>
            <wp:docPr id="4" name="图片 4" descr="E:\工作夹\AKE\2017\-产品\思维导图\MPGS\MPGS V2.4.0功能点.pngMPGS V2.4.0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工作夹\AKE\2017\-产品\思维导图\MPGS\MPGS V2.4.0功能点.pngMPGS V2.4.0功能点"/>
                    <pic:cNvPicPr>
                      <a:picLocks noChangeAspect="1"/>
                    </pic:cNvPicPr>
                  </pic:nvPicPr>
                  <pic:blipFill>
                    <a:blip r:embed="rId5"/>
                    <a:srcRect/>
                    <a:stretch>
                      <a:fillRect/>
                    </a:stretch>
                  </pic:blipFill>
                  <pic:spPr>
                    <a:xfrm>
                      <a:off x="0" y="0"/>
                      <a:ext cx="5290185" cy="3960495"/>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2" w:name="_Toc28457"/>
      <w:bookmarkStart w:id="53" w:name="_Toc8745"/>
      <w:bookmarkStart w:id="54" w:name="_Toc3212"/>
      <w:bookmarkStart w:id="55" w:name="_Toc27132"/>
      <w:r>
        <w:rPr>
          <w:rFonts w:hint="eastAsia" w:ascii="黑体" w:hAnsi="黑体" w:eastAsia="黑体" w:cs="黑体"/>
          <w:szCs w:val="22"/>
          <w:lang w:val="en-US" w:eastAsia="zh-CN"/>
        </w:rPr>
        <w:t>3.2功能点描述</w:t>
      </w:r>
      <w:bookmarkEnd w:id="52"/>
      <w:bookmarkEnd w:id="53"/>
      <w:bookmarkEnd w:id="54"/>
      <w:bookmarkEnd w:id="55"/>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pPr>
      <w:bookmarkStart w:id="56" w:name="_Toc28219"/>
      <w:bookmarkStart w:id="57" w:name="_Toc516"/>
      <w:bookmarkStart w:id="58" w:name="_Toc4849"/>
      <w:bookmarkStart w:id="59" w:name="_Toc4369"/>
      <w:r>
        <w:rPr>
          <w:rFonts w:hint="eastAsia" w:ascii="黑体" w:hAnsi="黑体" w:eastAsia="黑体" w:cs="黑体"/>
          <w:sz w:val="30"/>
          <w:szCs w:val="30"/>
          <w:lang w:val="en-US" w:eastAsia="zh-CN"/>
        </w:rPr>
        <w:t>3.2.1</w:t>
      </w:r>
      <w:bookmarkEnd w:id="56"/>
      <w:bookmarkEnd w:id="57"/>
      <w:bookmarkEnd w:id="58"/>
      <w:r>
        <w:rPr>
          <w:rFonts w:hint="eastAsia" w:ascii="黑体" w:hAnsi="黑体" w:eastAsia="黑体" w:cs="黑体"/>
          <w:sz w:val="30"/>
          <w:szCs w:val="30"/>
          <w:lang w:val="en-US" w:eastAsia="zh-CN"/>
        </w:rPr>
        <w:t>地图编辑器增加不同类型车位元素</w:t>
      </w:r>
      <w:bookmarkEnd w:id="5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0" w:name="_Toc7866"/>
      <w:bookmarkStart w:id="61" w:name="_Toc27109"/>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60"/>
      <w:bookmarkEnd w:id="6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在地图编辑器元素管理中增加不同类型的车位元素，包括临时车位、固定车位、租用车位、免费车位和预定车位五种；增加对元素增加右键复制粘贴功能。</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bCs/>
          <w:sz w:val="24"/>
          <w:szCs w:val="24"/>
          <w:lang w:val="en-US" w:eastAsia="zh-CN"/>
        </w:rPr>
      </w:pPr>
      <w:bookmarkStart w:id="62" w:name="_Toc25490"/>
      <w:bookmarkStart w:id="63" w:name="_Toc13022"/>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62"/>
      <w:bookmarkEnd w:id="6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2995" cy="4946015"/>
            <wp:effectExtent l="0" t="0" r="1905" b="6985"/>
            <wp:docPr id="2" name="图片 2" descr="1_1地图编辑器增加不同类型车位元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_1地图编辑器增加不同类型车位元素"/>
                    <pic:cNvPicPr>
                      <a:picLocks noChangeAspect="1"/>
                    </pic:cNvPicPr>
                  </pic:nvPicPr>
                  <pic:blipFill>
                    <a:blip r:embed="rId6"/>
                    <a:stretch>
                      <a:fillRect/>
                    </a:stretch>
                  </pic:blipFill>
                  <pic:spPr>
                    <a:xfrm>
                      <a:off x="0" y="0"/>
                      <a:ext cx="6182995" cy="494601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对地图编辑器中的车位元素进行类型区分，增加临时车位、固定车位、租用车位、免费车位和预订车位这五种车位类型。不同车位类型以不同颜色进行区分，可新增不同类型的车位元素。</w:t>
      </w:r>
    </w:p>
    <w:p>
      <w:pPr>
        <w:pageBreakBefore w:val="0"/>
        <w:widowControl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鼠标移动到车位图标上时显示该车位图标的元素名称，如下图，鼠标移入到临时车位图标时，显示元素名称：临时车位。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（3）增加复制粘贴的右键功能键，选中某个车位元素单击右键，可复制粘贴该元素，复制粘贴生成的元素编号在原来的元素尾号上加1。如原车位元素编号为CW，那么复制粘贴的车位元素编号为CW1。</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（4）复制粘贴的元素跟原来的元素除了元素编号外，其他配置均一致。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drawing>
          <wp:inline distT="0" distB="0" distL="114300" distR="114300">
            <wp:extent cx="6181725" cy="2976880"/>
            <wp:effectExtent l="0" t="0" r="3175"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7"/>
                    <a:stretch>
                      <a:fillRect/>
                    </a:stretch>
                  </pic:blipFill>
                  <pic:spPr>
                    <a:xfrm>
                      <a:off x="0" y="0"/>
                      <a:ext cx="6181725" cy="2976880"/>
                    </a:xfrm>
                    <a:prstGeom prst="rect">
                      <a:avLst/>
                    </a:prstGeom>
                    <a:noFill/>
                    <a:ln w="9525">
                      <a:noFill/>
                    </a:ln>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4" w:name="_Toc30868"/>
      <w:bookmarkStart w:id="65" w:name="_Toc25732"/>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64"/>
      <w:bookmarkEnd w:id="6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6" w:name="_Toc27426"/>
      <w:bookmarkStart w:id="67" w:name="_Toc21775"/>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66"/>
      <w:bookmarkEnd w:id="6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8" w:name="_Toc10793"/>
      <w:bookmarkStart w:id="69" w:name="_Toc12649"/>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68"/>
      <w:bookmarkEnd w:id="6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70" w:name="_Toc5918"/>
      <w:r>
        <w:rPr>
          <w:rFonts w:hint="eastAsia" w:ascii="黑体" w:hAnsi="黑体" w:eastAsia="黑体" w:cs="黑体"/>
          <w:sz w:val="30"/>
          <w:szCs w:val="30"/>
          <w:lang w:val="en-US" w:eastAsia="zh-CN"/>
        </w:rPr>
        <w:t>3.2.2 MPGS地图配置修改</w:t>
      </w:r>
      <w:bookmarkEnd w:id="7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1" w:name="_Toc10146"/>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7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对MPGS系统管理-地图配置模块重新定义规划，用户可根据需要新增地图元素类型，并通过与系统元素类型进行挂钩联系，使得在地图上添加的元素不仅可显示，还可进行实际的业务处理。</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23384"/>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7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drawing>
          <wp:inline distT="0" distB="0" distL="114300" distR="114300">
            <wp:extent cx="6178550" cy="2845435"/>
            <wp:effectExtent l="0" t="0" r="6350" b="12065"/>
            <wp:docPr id="3" name="图片 3" descr="E:\工作夹\AKE\2017\-产品\原型导出图片\MPGS\V2.4.0\2_1mpgs后台增加地图对应关系（交互）.png2_1mpgs后台增加地图对应关系（交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工作夹\AKE\2017\-产品\原型导出图片\MPGS\V2.4.0\2_1mpgs后台增加地图对应关系（交互）.png2_1mpgs后台增加地图对应关系（交互）"/>
                    <pic:cNvPicPr>
                      <a:picLocks noChangeAspect="1"/>
                    </pic:cNvPicPr>
                  </pic:nvPicPr>
                  <pic:blipFill>
                    <a:blip r:embed="rId8"/>
                    <a:srcRect/>
                    <a:stretch>
                      <a:fillRect/>
                    </a:stretch>
                  </pic:blipFill>
                  <pic:spPr>
                    <a:xfrm>
                      <a:off x="0" y="0"/>
                      <a:ext cx="6178550" cy="284543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调整地图配置列表，列表字段包括地图类型名称、地图类型编码、对应系统类型名称、对应系统类型编码、对应状态及属性和操作列。</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对应状态及属性显示“查看”，点击弹出弹窗可查看详细的系统状态名称、编码和系统属性名称、编码。</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drawing>
          <wp:inline distT="0" distB="0" distL="114300" distR="114300">
            <wp:extent cx="6125845" cy="2839085"/>
            <wp:effectExtent l="0" t="0" r="8255" b="5715"/>
            <wp:docPr id="6" name="图片 6" descr="E:\工作夹\AKE\2017\-产品\原型导出图片\MPGS\V2.4.0\1_2对应属性.png1_2对应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工作夹\AKE\2017\-产品\原型导出图片\MPGS\V2.4.0\1_2对应属性.png1_2对应属性"/>
                    <pic:cNvPicPr>
                      <a:picLocks noChangeAspect="1"/>
                    </pic:cNvPicPr>
                  </pic:nvPicPr>
                  <pic:blipFill>
                    <a:blip r:embed="rId9"/>
                    <a:srcRect/>
                    <a:stretch>
                      <a:fillRect/>
                    </a:stretch>
                  </pic:blipFill>
                  <pic:spPr>
                    <a:xfrm>
                      <a:off x="0" y="0"/>
                      <a:ext cx="6125845" cy="283908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新增元素类型，用户填写地图类型名称及地图类型编码，并选择对应的系统类型，下方显示该类型对应的系统状态及属性的名称编码关系表。例如选择CW-车位类型时，将会在下方显示对应车位类型的系统状态名称编码和系统属性名称编码。</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用户选择了对应系统类型后，地图的属性、状态名称和编码根据系统属性、状态的名称和编码自动带入。新建元素类型成功后可在对应属性、对应状态中查看地图属性、状态名称和编码。</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操作列-编辑：点击弹出编辑弹窗，用户可修改地图类型名称、编码和对应系统类型。确认修改操作后将修改后的对应关系为准，地图编辑器上的元素需作同步修改才能对该元素作业务处理。</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只有当新增的地图元素的类型、属性、状态均与系统类型、属性和状态一一对应时，用户在地图编辑器上使用该元素，系统才会对该元素做相应的业务处理。</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新增的地图类型名称必须唯一、不可重复。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drawing>
          <wp:inline distT="0" distB="0" distL="114300" distR="114300">
            <wp:extent cx="6090285" cy="3317240"/>
            <wp:effectExtent l="0" t="0" r="5715" b="10160"/>
            <wp:docPr id="24" name="图片 24" descr="E:\工作夹\AKE\2017\-产品\原型导出图片\MPGS\V2.4.0\2_2内页展示.png2_2内页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E:\工作夹\AKE\2017\-产品\原型导出图片\MPGS\V2.4.0\2_2内页展示.png2_2内页展示"/>
                    <pic:cNvPicPr>
                      <a:picLocks noChangeAspect="1"/>
                    </pic:cNvPicPr>
                  </pic:nvPicPr>
                  <pic:blipFill>
                    <a:blip r:embed="rId10"/>
                    <a:srcRect/>
                    <a:stretch>
                      <a:fillRect/>
                    </a:stretch>
                  </pic:blipFill>
                  <pic:spPr>
                    <a:xfrm>
                      <a:off x="0" y="0"/>
                      <a:ext cx="6090285" cy="331724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增加“地图配置关系表”按钮，点击弹出地图配置关系表弹窗，方便用户查看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drawing>
          <wp:inline distT="0" distB="0" distL="114300" distR="114300">
            <wp:extent cx="6153150" cy="2855595"/>
            <wp:effectExtent l="0" t="0" r="6350" b="1905"/>
            <wp:docPr id="8" name="图片 8" descr="E:\工作夹\AKE\2017\-产品\原型导出图片\MPGS\V2.4.0\1_2地图配置关系表.png1_2地图配置关系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工作夹\AKE\2017\-产品\原型导出图片\MPGS\V2.4.0\1_2地图配置关系表.png1_2地图配置关系表"/>
                    <pic:cNvPicPr>
                      <a:picLocks noChangeAspect="1"/>
                    </pic:cNvPicPr>
                  </pic:nvPicPr>
                  <pic:blipFill>
                    <a:blip r:embed="rId11"/>
                    <a:srcRect/>
                    <a:stretch>
                      <a:fillRect/>
                    </a:stretch>
                  </pic:blipFill>
                  <pic:spPr>
                    <a:xfrm>
                      <a:off x="0" y="0"/>
                      <a:ext cx="6153150" cy="285559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object>
          <v:shape id="_x0000_i1025" o:spt="75" type="#_x0000_t75" style="height:65.5pt;width:72.5pt;" o:ole="t" filled="f" o:preferrelative="t" stroked="f" coordsize="21600,21600">
            <v:path/>
            <v:fill on="f" focussize="0,0"/>
            <v:stroke on="f"/>
            <v:imagedata r:id="rId13" o:title=""/>
            <o:lock v:ext="edit" aspectratio="t"/>
            <w10:wrap type="none"/>
            <w10:anchorlock/>
          </v:shape>
          <o:OLEObject Type="Embed" ProgID="Excel.Sheet.8" ShapeID="_x0000_i1025" DrawAspect="Icon" ObjectID="_1468075725" r:id="rId12">
            <o:LockedField>false</o:LockedField>
          </o:OLEObject>
        </w:objec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4"/>
          <w:szCs w:val="24"/>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3" w:name="_Toc20961"/>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7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4" w:name="_Toc13558"/>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7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5" w:name="_Toc1180"/>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75"/>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76" w:name="_Toc1069"/>
      <w:r>
        <w:rPr>
          <w:rFonts w:hint="eastAsia" w:ascii="黑体" w:hAnsi="黑体" w:eastAsia="黑体" w:cs="黑体"/>
          <w:sz w:val="30"/>
          <w:szCs w:val="30"/>
          <w:lang w:val="en-US" w:eastAsia="zh-CN"/>
        </w:rPr>
        <w:t>3.2.3 MPGS增加蒙版配置引导</w:t>
      </w:r>
      <w:bookmarkEnd w:id="7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7" w:name="_Toc28258"/>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7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用户初次使用系统时弹出提示配置弹窗，引导用户对系统参数和中间件进行配置，用户可选择立即开始配置，也可以稍后再配置。</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8" w:name="_Toc6073"/>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78"/>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b/>
          <w:bCs/>
          <w:sz w:val="24"/>
          <w:szCs w:val="24"/>
          <w:lang w:val="en-US" w:eastAsia="zh-CN"/>
        </w:rPr>
      </w:pPr>
      <w:r>
        <w:rPr>
          <w:rFonts w:hint="eastAsia" w:ascii="黑体" w:hAnsi="黑体" w:eastAsia="黑体" w:cs="黑体"/>
          <w:sz w:val="21"/>
          <w:szCs w:val="21"/>
          <w:lang w:val="en-US" w:eastAsia="zh-CN"/>
        </w:rPr>
        <w:drawing>
          <wp:inline distT="0" distB="0" distL="114300" distR="114300">
            <wp:extent cx="6186805" cy="2830830"/>
            <wp:effectExtent l="0" t="0" r="10795" b="1270"/>
            <wp:docPr id="11" name="图片 11" descr="E:\工作夹\AKE\2017\-产品\原型导出图片\MPGS\V2.4.0\3_1配置引导页.png3_1配置引导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工作夹\AKE\2017\-产品\原型导出图片\MPGS\V2.4.0\3_1配置引导页.png3_1配置引导页"/>
                    <pic:cNvPicPr>
                      <a:picLocks noChangeAspect="1"/>
                    </pic:cNvPicPr>
                  </pic:nvPicPr>
                  <pic:blipFill>
                    <a:blip r:embed="rId14"/>
                    <a:srcRect/>
                    <a:stretch>
                      <a:fillRect/>
                    </a:stretch>
                  </pic:blipFill>
                  <pic:spPr>
                    <a:xfrm>
                      <a:off x="0" y="0"/>
                      <a:ext cx="6186805" cy="283083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sz w:val="21"/>
          <w:szCs w:val="21"/>
          <w:lang w:val="en-US" w:eastAsia="zh-CN"/>
        </w:rPr>
      </w:pPr>
      <w:r>
        <w:rPr>
          <w:rFonts w:hint="eastAsia" w:ascii="黑体" w:hAnsi="黑体" w:eastAsia="黑体" w:cs="黑体"/>
          <w:b/>
          <w:bCs/>
          <w:sz w:val="24"/>
          <w:szCs w:val="24"/>
          <w:lang w:val="en-US" w:eastAsia="zh-CN"/>
        </w:rPr>
        <w:t>业务说明：</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用户初次使用系统时将弹出提示配置弹窗，提示用户可以直接开始进入配置，也可稍后在车场管理-参数配置中进行配置。</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用户点击“开始配置”将跳转至参数配置页面，每个配置项都有带有释义，点击问号弹出释义弹窗，确认操作将保存并应用当前编辑的操作，取消则取消当前操作。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3630" cy="2588260"/>
            <wp:effectExtent l="0" t="0" r="1270" b="2540"/>
            <wp:docPr id="29" name="图片 29" descr="E:\工作夹\AKE\2017\-产品\原型导出图片\MPGS\V2.4.0\3_2参数配置页面修改.png3_2参数配置页面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工作夹\AKE\2017\-产品\原型导出图片\MPGS\V2.4.0\3_2参数配置页面修改.png3_2参数配置页面修改"/>
                    <pic:cNvPicPr>
                      <a:picLocks noChangeAspect="1"/>
                    </pic:cNvPicPr>
                  </pic:nvPicPr>
                  <pic:blipFill>
                    <a:blip r:embed="rId15"/>
                    <a:srcRect/>
                    <a:stretch>
                      <a:fillRect/>
                    </a:stretch>
                  </pic:blipFill>
                  <pic:spPr>
                    <a:xfrm>
                      <a:off x="0" y="0"/>
                      <a:ext cx="6183630" cy="25882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4265" cy="7446645"/>
            <wp:effectExtent l="0" t="0" r="635" b="8255"/>
            <wp:docPr id="5" name="图片 5" descr="E:\工作夹\AKE\2017\-产品\原型导出图片\MPGS\V2.4.0\参数配置_state1.png参数配置_sta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工作夹\AKE\2017\-产品\原型导出图片\MPGS\V2.4.0\参数配置_state1.png参数配置_state1"/>
                    <pic:cNvPicPr>
                      <a:picLocks noChangeAspect="1"/>
                    </pic:cNvPicPr>
                  </pic:nvPicPr>
                  <pic:blipFill>
                    <a:blip r:embed="rId16"/>
                    <a:srcRect/>
                    <a:stretch>
                      <a:fillRect/>
                    </a:stretch>
                  </pic:blipFill>
                  <pic:spPr>
                    <a:xfrm>
                      <a:off x="0" y="0"/>
                      <a:ext cx="6184265" cy="7446645"/>
                    </a:xfrm>
                    <a:prstGeom prst="rect">
                      <a:avLst/>
                    </a:prstGeom>
                  </pic:spPr>
                </pic:pic>
              </a:graphicData>
            </a:graphic>
          </wp:inline>
        </w:drawing>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当前系统语言，默认为0；</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kern w:val="2"/>
          <w:sz w:val="21"/>
          <w:szCs w:val="21"/>
          <w:lang w:val="en-US" w:eastAsia="zh-CN" w:bidi="ar-SA"/>
        </w:rPr>
        <w:t>此项用于设置系统语言；0-简体中文，1-繁体中文，2-英文。</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车牌图片和历史记录的保存时间，默认保存7天；</w:t>
      </w:r>
      <w:r>
        <w:rPr>
          <w:rFonts w:hint="eastAsia" w:ascii="黑体" w:hAnsi="黑体" w:eastAsia="黑体" w:cs="黑体"/>
          <w:color w:val="FF0000"/>
          <w:sz w:val="21"/>
          <w:szCs w:val="21"/>
          <w:lang w:val="en-US" w:eastAsia="zh-CN"/>
        </w:rPr>
        <w:t>（新增）</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黑体" w:hAnsi="黑体" w:eastAsia="黑体" w:cs="黑体"/>
          <w:color w:val="FF0000"/>
          <w:sz w:val="21"/>
          <w:szCs w:val="21"/>
          <w:lang w:val="en-US" w:eastAsia="zh-CN"/>
        </w:rPr>
      </w:pPr>
      <w:r>
        <w:rPr>
          <w:rFonts w:hint="eastAsia" w:ascii="黑体" w:hAnsi="黑体" w:eastAsia="黑体" w:cs="黑体"/>
          <w:color w:val="FF0000"/>
          <w:sz w:val="21"/>
          <w:szCs w:val="21"/>
          <w:lang w:val="en-US" w:eastAsia="zh-CN"/>
        </w:rPr>
        <w:t xml:space="preserve">    </w:t>
      </w:r>
      <w:r>
        <w:rPr>
          <w:rFonts w:hint="eastAsia" w:ascii="黑体" w:hAnsi="黑体" w:eastAsia="黑体" w:cs="黑体"/>
          <w:color w:val="535353" w:themeColor="accent3" w:themeShade="80"/>
          <w:sz w:val="21"/>
          <w:szCs w:val="21"/>
          <w:lang w:val="en-US" w:eastAsia="zh-CN"/>
        </w:rPr>
        <w:t>点击问号的弹窗说明：保存时间请根据硬盘大小和实际业务数量来设定。</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系统超时时间：默认超时时间为720，即12小时后超时；</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kern w:val="2"/>
          <w:sz w:val="21"/>
          <w:szCs w:val="21"/>
          <w:lang w:val="en-US" w:eastAsia="zh-CN" w:bidi="ar-SA"/>
        </w:rPr>
        <w:t>系统超时将自动退出登录状态，需重新登录系统；设置为0，默认系统不超时。</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停车场是否支持跨层寻车，默认开启，支持跨层寻车；</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（1）若开启此项设定，车主可获取缴费机与车辆不同楼层的寻车路线；</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（2）若关闭此项设定，则车主只能获取缴费机和车辆为同一层的寻车路线。</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停车场是否支持蓝牙寻车，默认关闭，即默认不支持蓝牙寻车。</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请根据车场实际情况设定此项配置。</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app指定UUID</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此项用于设定蓝牙动态反向寻车中app指定的UUID。</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蓝牙收集信号次数，默认3次</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（1）此项用于设定用户进行蓝牙寻车时收集蓝牙信号的次数；</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（2）蓝牙收集信号次数：用户打开微信进行蓝牙寻车时，将自动搜索附近的蓝牙信号。因未必能一次收集到蓝牙信号，故可以设定打开微信后收集蓝牙信号的次数，以确保在可收集范围内对蓝牙信号收集成功。</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微信首次搜索秒数，默认60秒</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（1）此项用于设定微信搜索蓝牙信号的等待时间。用户打开微信进行蓝牙寻车时，将自动搜索附近的蓝牙信号。若不设定等待时间，将一直处于搜索蓝牙信号状态。</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（2）当微信搜索蓝牙信号的时间超出所设定的搜索秒数（等待时间）后，将停止搜索并提示用户。</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一点停地址，默认https://wxydt.yidianting.xin/weixin</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此项用于设定蓝牙动态反向寻车的一点停地址。</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Beacon数据上报平台认证地址，默认https://wxydt.yidianting.xin/weixin</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此项用于设定蓝牙动态反向寻车的beacon数据上报平台认证地址。</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统计是否以车位数据为准，默认开启</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（1）若开启此项设定，将默认按车位的占用/空闲数据来统计剩余车位；</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（2）若关闭此项设定，且开启“统计X小时的在场剩余（时）”，将默认按X小时的在场剩余来统计剩余车位。</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统计X小时的在场剩余（时），默认24小时，默认关闭状态</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（1）若开启此项设定，将默认按X小时的在场剩余来统计剩余车位；如设为24小时，将统计当前时间往前24小时的剩余车位；</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（3）若关闭此项设定，且开启“统计是否以车位数据为准”，将默认按车位的占用/空闲数据来统计剩余车位。</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黑体" w:hAnsi="黑体" w:eastAsia="黑体" w:cs="黑体"/>
          <w:color w:val="FF0000"/>
          <w:sz w:val="24"/>
          <w:szCs w:val="24"/>
          <w:lang w:val="en-US" w:eastAsia="zh-CN"/>
        </w:rPr>
      </w:pPr>
      <w:r>
        <w:rPr>
          <w:rFonts w:hint="eastAsia" w:ascii="黑体" w:hAnsi="黑体" w:eastAsia="黑体" w:cs="黑体"/>
          <w:color w:val="FF0000"/>
          <w:sz w:val="24"/>
          <w:szCs w:val="24"/>
          <w:lang w:val="en-US" w:eastAsia="zh-CN"/>
        </w:rPr>
        <w:t>约束条件：</w:t>
      </w:r>
    </w:p>
    <w:p>
      <w:pPr>
        <w:pStyle w:val="11"/>
        <w:keepNext w:val="0"/>
        <w:keepLines w:val="0"/>
        <w:pageBreakBefore w:val="0"/>
        <w:widowControl/>
        <w:numPr>
          <w:ilvl w:val="0"/>
          <w:numId w:val="14"/>
        </w:numPr>
        <w:suppressLineNumbers w:val="0"/>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黑体" w:hAnsi="黑体" w:eastAsia="黑体" w:cs="黑体"/>
          <w:color w:val="FF0000"/>
          <w:sz w:val="24"/>
          <w:szCs w:val="24"/>
          <w:lang w:val="en-US" w:eastAsia="zh-CN"/>
        </w:rPr>
      </w:pPr>
      <w:r>
        <w:rPr>
          <w:rFonts w:hint="eastAsia" w:ascii="黑体" w:hAnsi="黑体" w:eastAsia="黑体" w:cs="黑体"/>
          <w:color w:val="FF0000"/>
          <w:sz w:val="24"/>
          <w:szCs w:val="24"/>
          <w:lang w:val="en-US" w:eastAsia="zh-CN"/>
        </w:rPr>
        <w:t>“统计是否以车位数据为准”和“统计X小时的在场剩余”两项设定为互斥关系；</w:t>
      </w:r>
    </w:p>
    <w:p>
      <w:pPr>
        <w:pStyle w:val="11"/>
        <w:keepNext w:val="0"/>
        <w:keepLines w:val="0"/>
        <w:pageBreakBefore w:val="0"/>
        <w:widowControl/>
        <w:numPr>
          <w:ilvl w:val="0"/>
          <w:numId w:val="14"/>
        </w:numPr>
        <w:suppressLineNumbers w:val="0"/>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黑体" w:hAnsi="黑体" w:eastAsia="黑体" w:cs="黑体"/>
          <w:color w:val="FF0000"/>
          <w:sz w:val="24"/>
          <w:szCs w:val="24"/>
          <w:lang w:val="en-US" w:eastAsia="zh-CN"/>
        </w:rPr>
      </w:pPr>
      <w:r>
        <w:rPr>
          <w:rFonts w:hint="eastAsia" w:ascii="黑体" w:hAnsi="黑体" w:eastAsia="黑体" w:cs="黑体"/>
          <w:color w:val="FF0000"/>
          <w:sz w:val="24"/>
          <w:szCs w:val="24"/>
          <w:lang w:val="en-US" w:eastAsia="zh-CN"/>
        </w:rPr>
        <w:t>若“统计X小时的在场剩余”处于开启状态，当用户开启“统计是否以车位数据为准”时，将自动关闭“统计X小时的在场剩余”；</w:t>
      </w:r>
    </w:p>
    <w:p>
      <w:pPr>
        <w:pStyle w:val="11"/>
        <w:keepNext w:val="0"/>
        <w:keepLines w:val="0"/>
        <w:pageBreakBefore w:val="0"/>
        <w:widowControl/>
        <w:numPr>
          <w:ilvl w:val="0"/>
          <w:numId w:val="14"/>
        </w:numPr>
        <w:suppressLineNumbers w:val="0"/>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黑体" w:hAnsi="黑体" w:eastAsia="黑体" w:cs="黑体"/>
          <w:color w:val="FF0000"/>
          <w:sz w:val="24"/>
          <w:szCs w:val="24"/>
          <w:lang w:val="en-US" w:eastAsia="zh-CN"/>
        </w:rPr>
      </w:pPr>
      <w:r>
        <w:rPr>
          <w:rFonts w:hint="eastAsia" w:ascii="黑体" w:hAnsi="黑体" w:eastAsia="黑体" w:cs="黑体"/>
          <w:color w:val="FF0000"/>
          <w:sz w:val="24"/>
          <w:szCs w:val="24"/>
          <w:lang w:val="en-US" w:eastAsia="zh-CN"/>
        </w:rPr>
        <w:t>若“统计是否以车位数据为准”处于开启状态，当用户开启“统计X小时的在场剩余”时，将自动关闭“统计是否以车位数据为准”；</w:t>
      </w:r>
    </w:p>
    <w:p>
      <w:pPr>
        <w:pStyle w:val="11"/>
        <w:keepNext w:val="0"/>
        <w:keepLines w:val="0"/>
        <w:pageBreakBefore w:val="0"/>
        <w:widowControl/>
        <w:numPr>
          <w:ilvl w:val="0"/>
          <w:numId w:val="14"/>
        </w:numPr>
        <w:suppressLineNumbers w:val="0"/>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黑体" w:hAnsi="黑体" w:eastAsia="黑体" w:cs="黑体"/>
          <w:color w:val="FF0000"/>
          <w:sz w:val="24"/>
          <w:szCs w:val="24"/>
          <w:lang w:val="en-US" w:eastAsia="zh-CN"/>
        </w:rPr>
      </w:pPr>
      <w:r>
        <w:rPr>
          <w:rFonts w:hint="eastAsia" w:ascii="黑体" w:hAnsi="黑体" w:eastAsia="黑体" w:cs="黑体"/>
          <w:color w:val="FF0000"/>
          <w:sz w:val="24"/>
          <w:szCs w:val="24"/>
          <w:lang w:val="en-US" w:eastAsia="zh-CN"/>
        </w:rPr>
        <w:t>若两项设定同时为关闭状态，系统默认采用“统计是否以车位数据为准”设定。</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车位的最短变更时限，默认开启，最短变更时限默认5秒；</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（1）此配置用于设定接受连续两次车位上报数据并作业务处理的最短相隔时间；</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default"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（2）若连续两次车位上报数据的时间小于设定值系统将对后一次上报数据不作业务处理；</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kern w:val="2"/>
          <w:sz w:val="21"/>
          <w:szCs w:val="21"/>
          <w:lang w:val="en-US" w:eastAsia="zh-CN" w:bidi="ar-SA"/>
        </w:rPr>
        <w:t>（3）若关闭此项设定，系统将对每条车位上报数据都进行业务处理。</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同车位在指定时间内相同车牌合并为一条记录，默认开启，指定时间默认为10分钟；</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（1）假如指定时间为T，A车在T1时刻进场停入B车位，在T2时刻再次上报A车停入B车位的数据，且T2-T1&lt;T，那么此时将A车判定为异常在场，进场时间默认为T1；</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default"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（2）当A车在T1时刻进场停入B车位，C车在T2时刻停入B车位，A车在T3时刻停入B车位，且T3-T1&lt;T，那么此时也将A车判定为异常在场，进场时间默认为T3；</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kern w:val="2"/>
          <w:sz w:val="21"/>
          <w:szCs w:val="21"/>
          <w:lang w:val="en-US" w:eastAsia="zh-CN" w:bidi="ar-SA"/>
        </w:rPr>
        <w:t>（3）若关闭此项设定，系统将直接对上报数据进行业务处理（不合并为同一条记录）。</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无牌车接受业务变化的最小次数，默认开启，最小次数默认1次。</w:t>
      </w:r>
      <w:r>
        <w:rPr>
          <w:rFonts w:hint="eastAsia" w:ascii="黑体" w:hAnsi="黑体" w:eastAsia="黑体" w:cs="黑体"/>
          <w:color w:val="FF0000"/>
          <w:sz w:val="21"/>
          <w:szCs w:val="21"/>
          <w:lang w:val="en-US" w:eastAsia="zh-CN"/>
        </w:rPr>
        <w:t>（因设置重复，去掉了“接受无牌车数据”一项设置）</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（1）无牌车指的是有车无牌的车辆数据；</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（2）同一车位只有当无牌车上报次数多于设定的最小次数时才会处理成在场记录；</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（3）若关闭此项设定，系统将不接受无牌车数据。</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接受车位变化的最小模糊阈值，默认开启，最小模糊阈值默认20；</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（1）当同一车位连续两次上报有车状态数据时，系统会比对数据计算出一个阈值，阈值越高，两次数据越可能为同一车牌；</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default" w:ascii="黑体" w:hAnsi="黑体" w:eastAsia="黑体" w:cs="黑体"/>
          <w:color w:val="535353" w:themeColor="accent3" w:themeShade="80"/>
          <w:kern w:val="2"/>
          <w:sz w:val="21"/>
          <w:szCs w:val="21"/>
          <w:lang w:val="en-US" w:eastAsia="zh-CN" w:bidi="ar-SA"/>
        </w:rPr>
      </w:pPr>
      <w:r>
        <w:rPr>
          <w:rFonts w:hint="eastAsia" w:ascii="黑体" w:hAnsi="黑体" w:eastAsia="黑体" w:cs="黑体"/>
          <w:color w:val="535353" w:themeColor="accent3" w:themeShade="80"/>
          <w:kern w:val="2"/>
          <w:sz w:val="21"/>
          <w:szCs w:val="21"/>
          <w:lang w:val="en-US" w:eastAsia="zh-CN" w:bidi="ar-SA"/>
        </w:rPr>
        <w:t>（2）当系统计算的阈值小于设定阈值时才会对上报数据进行业务处理；</w:t>
      </w:r>
    </w:p>
    <w:p>
      <w:pPr>
        <w:pStyle w:val="11"/>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before="0" w:beforeAutospacing="0" w:after="0" w:afterAutospacing="0" w:line="360" w:lineRule="auto"/>
        <w:ind w:left="420" w:leftChars="0" w:right="0" w:rightChars="0" w:firstLine="420" w:firstLineChars="2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kern w:val="2"/>
          <w:sz w:val="21"/>
          <w:szCs w:val="21"/>
          <w:lang w:val="en-US" w:eastAsia="zh-CN" w:bidi="ar-SA"/>
        </w:rPr>
        <w:t>（3）若关闭此项设定，系统将不对模糊阈值进行判断，直接对上报数据进行业务处理。</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车场模糊匹配阈值，默认开启，阈值默认为20；</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（1）车辆进场数据上报时，系统会对车辆与场内已有车辆进行比对，当系统计算的阈值超过设定的模糊匹配阈值时，系统会判定该车与已有车辆为同一辆车；</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default"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（2）进场时间靠前的数据将被认为异常在场；</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（3）若关闭此项设定，系统将不对模糊阈值进行判断，直接对上报数据进行业务处理。</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区域模糊匹配阈值，默认开启，阈值默认为20。</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（1）车辆进场数据上报时，系统会对车辆与场内已有车辆进行比对，当系统计算的阈值超过设定的模糊匹配阈值时，系统会判定该车与已有车辆为同一辆车；进场时间靠前的数据将被认为异常在场；</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（2）若关闭此项设定，系统将不对模糊阈值进行判断，直接对上报数据进行业务处理。</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rPr>
          <w:rFonts w:hint="eastAsia" w:ascii="黑体" w:hAnsi="黑体" w:eastAsia="黑体" w:cs="黑体"/>
          <w:color w:val="535353" w:themeColor="accent3" w:themeShade="80"/>
          <w:sz w:val="21"/>
          <w:szCs w:val="21"/>
          <w:lang w:val="en-US" w:eastAsia="zh-CN"/>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业务变化接受第三方的进场数据，默认开启；</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（1）若开启此项设定，将对第三方接口上报的进场数据进行业务采用；</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（2）若关闭此项设定，则不对第三方接口上报的进场数据进行业务采用。</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业务变化接受第三方的离场数据，默认开启。</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（1）若开启此项设定，将对第三方接口上报的离场数据进行业务采用；</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default"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（2）若关闭此项设定，则不对第三方接口上报的离场数据进行业务采用。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整个停车场进出接受车位进出变化，默认开启；</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（1）若开启此项设定，停车场统计数据时接受车位的数据变化；</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（2）当无停车场检测设备时，建议开启此开关。</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整个停车场进出接受区域进出变化，默认开启；</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（1）若开启此项设定，停车场统计数据时接受区域的数据变化；</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（2）当无停车场检测设备时，建议开启此开关。</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整个停车场进出接受接口进出变化，默认开启。</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（1）若开启此项设定，停车场统计数据时接受第三方接口上报的数据变化；</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default"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（2）当无停车场检测设备时，建议开启此开关。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寻车H5页面显示版权说明，默认开启；</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（1）若开启此项设定，寻车H5页面将显示版权说明；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（2）若关闭此项设定，则不在寻车H5页面显示版权说明。</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采集信号强度大于X时为采信，默认开启，默认值为-75。</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（1）设定采信数据时的信号强度，当采集信号强度大于设定值时，才会对数据进行采信；</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color w:val="535353" w:themeColor="accent3" w:themeShade="80"/>
          <w:sz w:val="21"/>
          <w:szCs w:val="21"/>
          <w:lang w:val="en-US" w:eastAsia="zh-CN"/>
        </w:rPr>
      </w:pPr>
      <w:r>
        <w:rPr>
          <w:rFonts w:hint="eastAsia" w:ascii="黑体" w:hAnsi="黑体" w:eastAsia="黑体" w:cs="黑体"/>
          <w:color w:val="535353" w:themeColor="accent3" w:themeShade="80"/>
          <w:sz w:val="21"/>
          <w:szCs w:val="21"/>
          <w:lang w:val="en-US" w:eastAsia="zh-CN"/>
        </w:rPr>
        <w:t>（2）若关闭此项设定，系统将不对信号强度进行判定，直接对数据进行采信处理。</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firstLine="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VEMS地址，默认留空；</w:t>
      </w:r>
      <w:r>
        <w:rPr>
          <w:rFonts w:hint="eastAsia" w:ascii="黑体" w:hAnsi="黑体" w:eastAsia="黑体" w:cs="黑体"/>
          <w:color w:val="FF0000"/>
          <w:sz w:val="21"/>
          <w:szCs w:val="21"/>
          <w:lang w:val="en-US" w:eastAsia="zh-CN"/>
        </w:rPr>
        <w:t>（新增）</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点击问号的弹窗说明：</w:t>
      </w:r>
    </w:p>
    <w:p>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right="0" w:rightChars="0" w:firstLine="840" w:firstLineChars="400"/>
        <w:jc w:val="left"/>
        <w:textAlignment w:val="auto"/>
        <w:rPr>
          <w:rFonts w:hint="eastAsia" w:ascii="黑体" w:hAnsi="黑体" w:eastAsia="黑体" w:cs="黑体"/>
          <w:sz w:val="21"/>
          <w:szCs w:val="21"/>
          <w:lang w:val="en-US" w:eastAsia="zh-CN"/>
        </w:rPr>
      </w:pPr>
      <w:r>
        <w:rPr>
          <w:rFonts w:hint="eastAsia" w:ascii="黑体" w:hAnsi="黑体" w:eastAsia="黑体" w:cs="黑体"/>
          <w:color w:val="535353" w:themeColor="accent3" w:themeShade="80"/>
          <w:sz w:val="21"/>
          <w:szCs w:val="21"/>
          <w:lang w:val="en-US" w:eastAsia="zh-CN"/>
        </w:rPr>
        <w:t>接收VEMS上报的进场图片，需要访问VEMS系统的地址。此处填入VEMS系统的地址。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用户完成参数配置后，可直接点击“中间件配置”跳转至后台管理-中间件界面对中间件进行配置。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360" cy="2849245"/>
            <wp:effectExtent l="0" t="0" r="2540" b="8255"/>
            <wp:docPr id="12" name="图片 12" descr="E:\工作夹\AKE\2017\-产品\原型导出图片\MPGS\V2.4.0\3_3中间件配置页面.png3_3中间件配置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工作夹\AKE\2017\-产品\原型导出图片\MPGS\V2.4.0\3_3中间件配置页面.png3_3中间件配置页面"/>
                    <pic:cNvPicPr>
                      <a:picLocks noChangeAspect="1"/>
                    </pic:cNvPicPr>
                  </pic:nvPicPr>
                  <pic:blipFill>
                    <a:blip r:embed="rId17"/>
                    <a:srcRect/>
                    <a:stretch>
                      <a:fillRect/>
                    </a:stretch>
                  </pic:blipFill>
                  <pic:spPr>
                    <a:xfrm>
                      <a:off x="0" y="0"/>
                      <a:ext cx="6182360" cy="28492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15299"/>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7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0" w:name="_Toc10147"/>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8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1" w:name="_Toc29558"/>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8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2" w:name="_Toc23382"/>
      <w:r>
        <w:rPr>
          <w:rFonts w:hint="eastAsia" w:ascii="黑体" w:hAnsi="黑体" w:eastAsia="黑体" w:cs="黑体"/>
          <w:sz w:val="30"/>
          <w:szCs w:val="30"/>
          <w:lang w:val="en-US" w:eastAsia="zh-CN"/>
        </w:rPr>
        <w:t>3.2.4 增加车位上报流水接口</w:t>
      </w:r>
      <w:bookmarkEnd w:id="8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3" w:name="_Toc5278"/>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8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（1）增加车位上报流水对外接口；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（2）车位上报流水包含以下字段：车位编号、车牌照片、车牌号码、上报时间、业务类型和业务采用。</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4" w:name="_Toc23871"/>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84"/>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5" w:name="_Toc4196"/>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8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6" w:name="_Toc20618"/>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8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7" w:name="_Toc16708"/>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8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88" w:name="_Toc25026"/>
      <w:r>
        <w:rPr>
          <w:rFonts w:hint="eastAsia" w:ascii="黑体" w:hAnsi="黑体" w:eastAsia="黑体" w:cs="黑体"/>
          <w:sz w:val="30"/>
          <w:szCs w:val="30"/>
          <w:lang w:val="en-US" w:eastAsia="zh-CN"/>
        </w:rPr>
        <w:t>3.2.5 地图编辑器单个元素右键增量更新</w:t>
      </w:r>
      <w:bookmarkEnd w:id="8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9" w:name="_Toc21938"/>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8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存在的问题：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因为地图编辑器当前未实现增量更新，当在地图编辑器上传数据后，后台数据都会全部初始化，原来有车的车位可能会全部初始化成无车的状态，会造成数据不准确的问题。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解决方案：</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（1）用户可针对单个元素进行右键更新（上传单个元素的修改数据）；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（2）单个元素的更新为增量更新，不对系统进行初始化操作。</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0" w:name="_Toc12628"/>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9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drawing>
          <wp:inline distT="0" distB="0" distL="114300" distR="114300">
            <wp:extent cx="6180455" cy="2872105"/>
            <wp:effectExtent l="0" t="0" r="4445" b="10795"/>
            <wp:docPr id="31" name="图片 31" descr="5_地图编辑器单个元素右键增量更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5_地图编辑器单个元素右键增量更新"/>
                    <pic:cNvPicPr>
                      <a:picLocks noChangeAspect="1"/>
                    </pic:cNvPicPr>
                  </pic:nvPicPr>
                  <pic:blipFill>
                    <a:blip r:embed="rId18"/>
                    <a:stretch>
                      <a:fillRect/>
                    </a:stretch>
                  </pic:blipFill>
                  <pic:spPr>
                    <a:xfrm>
                      <a:off x="0" y="0"/>
                      <a:ext cx="6180455" cy="287210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（1）增加右键功能键“更新数据”；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（2）用户对单个元素进行编辑操作后，选中该元素，点击“更新数据”，对该元素的修改进行保存和更新数据；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（3）“更新数据”为增量更新，不对系统初始化，不影响的系统数据。</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1" w:name="_Toc4362"/>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9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2" w:name="_Toc3910"/>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9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3" w:name="_Toc7401"/>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9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94" w:name="_Toc31146"/>
      <w:r>
        <w:rPr>
          <w:rFonts w:hint="eastAsia" w:ascii="黑体" w:hAnsi="黑体" w:eastAsia="黑体" w:cs="黑体"/>
          <w:sz w:val="30"/>
          <w:szCs w:val="30"/>
          <w:lang w:val="en-US" w:eastAsia="zh-CN"/>
        </w:rPr>
        <w:t>3.2.6 增加反向寻车导航路线图片接口</w:t>
      </w:r>
      <w:bookmarkEnd w:id="9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5" w:name="_Toc13918"/>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bookmarkEnd w:id="9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（1）增加反向寻车导航路线图片对外接口；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（2）为第三方嵌入MPGS 寻车h5页面提供静态寻车的路线图片。</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6" w:name="_Toc7050"/>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bookmarkEnd w:id="96"/>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7" w:name="_Toc7576"/>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bookmarkEnd w:id="9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8" w:name="_Toc14442"/>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bookmarkEnd w:id="9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9" w:name="_Toc9203"/>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bookmarkEnd w:id="9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00" w:name="_Toc4235"/>
      <w:r>
        <w:rPr>
          <w:rFonts w:hint="eastAsia" w:ascii="黑体" w:hAnsi="黑体" w:eastAsia="黑体" w:cs="黑体"/>
          <w:sz w:val="30"/>
          <w:szCs w:val="30"/>
          <w:lang w:val="en-US" w:eastAsia="zh-CN"/>
        </w:rPr>
        <w:t>3.2.7 车位状态接口增加车位最后一张图片、时间查询和无牌车查询</w:t>
      </w:r>
      <w:bookmarkEnd w:id="10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1" w:name="_Toc21403"/>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bookmarkEnd w:id="10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（1）在车位状态接口增加车位最后一张图片、时间查询和无牌车查询的字段；</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2" w:name="_Toc27795"/>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bookmarkEnd w:id="102"/>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3" w:name="_Toc17695"/>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bookmarkEnd w:id="10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4" w:name="_Toc13140"/>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bookmarkEnd w:id="10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5" w:name="_Toc6813"/>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bookmarkEnd w:id="105"/>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06" w:name="_Toc17077"/>
      <w:r>
        <w:rPr>
          <w:rFonts w:hint="eastAsia" w:ascii="黑体" w:hAnsi="黑体" w:eastAsia="黑体" w:cs="黑体"/>
          <w:sz w:val="30"/>
          <w:szCs w:val="30"/>
          <w:lang w:val="en-US" w:eastAsia="zh-CN"/>
        </w:rPr>
        <w:t>3.2.8 增加支持查询引导屏的下发列表</w:t>
      </w:r>
      <w:bookmarkEnd w:id="10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7" w:name="_Toc5505"/>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bookmarkEnd w:id="10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在设备管理-屏管理的列表中增加“下发内容”字段，同步显示引导屏最后一次的下发内容（当前显示内容）。</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8" w:name="_Toc19734"/>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bookmarkEnd w:id="108"/>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6805" cy="2853055"/>
            <wp:effectExtent l="0" t="0" r="10795" b="4445"/>
            <wp:docPr id="18" name="图片 18" descr="7_增加支持查询引导屏的下发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7_增加支持查询引导屏的下发列表"/>
                    <pic:cNvPicPr>
                      <a:picLocks noChangeAspect="1"/>
                    </pic:cNvPicPr>
                  </pic:nvPicPr>
                  <pic:blipFill>
                    <a:blip r:embed="rId19"/>
                    <a:stretch>
                      <a:fillRect/>
                    </a:stretch>
                  </pic:blipFill>
                  <pic:spPr>
                    <a:xfrm>
                      <a:off x="0" y="0"/>
                      <a:ext cx="6186805" cy="285305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9" w:name="_Toc8924"/>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bookmarkEnd w:id="109"/>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0" w:name="_Toc18086"/>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bookmarkEnd w:id="11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1" w:name="_Toc23526"/>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bookmarkEnd w:id="111"/>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2" w:name="_Toc2683"/>
      <w:r>
        <w:rPr>
          <w:rFonts w:hint="eastAsia" w:ascii="黑体" w:hAnsi="黑体" w:eastAsia="黑体" w:cs="黑体"/>
          <w:sz w:val="30"/>
          <w:szCs w:val="30"/>
          <w:lang w:val="en-US" w:eastAsia="zh-CN"/>
        </w:rPr>
        <w:t>3.2.9 寻车H5页面增加版权说明</w:t>
      </w:r>
      <w:bookmarkEnd w:id="11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3" w:name="_Toc9004"/>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bookmarkEnd w:id="11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（1）在MPGS寻车H5界面底部增加艾科智泊的版权说明；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（2）在MPGS后台可配置此版权说明是否显示。</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14" w:name="_Toc23927"/>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bookmarkEnd w:id="11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（1）在寻车H5页面底部增加艾科智泊的版权说明；</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2312035" cy="4116070"/>
            <wp:effectExtent l="0" t="0" r="12065" b="11430"/>
            <wp:docPr id="19" name="图片 19" descr="8_1寻车h5页面增加版权说明，配置修改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8_1寻车h5页面增加版权说明，配置修改项"/>
                    <pic:cNvPicPr>
                      <a:picLocks noChangeAspect="1"/>
                    </pic:cNvPicPr>
                  </pic:nvPicPr>
                  <pic:blipFill>
                    <a:blip r:embed="rId20"/>
                    <a:stretch>
                      <a:fillRect/>
                    </a:stretch>
                  </pic:blipFill>
                  <pic:spPr>
                    <a:xfrm>
                      <a:off x="0" y="0"/>
                      <a:ext cx="2312035" cy="41160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（2）MPGS车场管理-参数配置增加寻车H5界面是否显示版权说明的配置，默认开启。</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8710" cy="2851785"/>
            <wp:effectExtent l="0" t="0" r="8890" b="5715"/>
            <wp:docPr id="20" name="图片 20" descr="8_2mpgs后台增加版权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8_2mpgs后台增加版权配置"/>
                    <pic:cNvPicPr>
                      <a:picLocks noChangeAspect="1"/>
                    </pic:cNvPicPr>
                  </pic:nvPicPr>
                  <pic:blipFill>
                    <a:blip r:embed="rId21"/>
                    <a:stretch>
                      <a:fillRect/>
                    </a:stretch>
                  </pic:blipFill>
                  <pic:spPr>
                    <a:xfrm>
                      <a:off x="0" y="0"/>
                      <a:ext cx="6188710" cy="285178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5" w:name="_Toc3181"/>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bookmarkEnd w:id="115"/>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6" w:name="_Toc25912"/>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1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7" w:name="_Toc27711"/>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17"/>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18" w:name="_Toc7078"/>
      <w:r>
        <w:rPr>
          <w:rFonts w:hint="eastAsia" w:ascii="黑体" w:hAnsi="黑体" w:eastAsia="黑体" w:cs="黑体"/>
          <w:sz w:val="30"/>
          <w:szCs w:val="30"/>
          <w:lang w:val="en-US" w:eastAsia="zh-CN"/>
        </w:rPr>
        <w:t>3.2.10 区域可以查询其所属车位列表信息</w:t>
      </w:r>
      <w:bookmarkEnd w:id="11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9" w:name="_Toc5610"/>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.1功能说明</w:t>
      </w:r>
      <w:bookmarkEnd w:id="119"/>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在车场管理-区域管理中增加可以查询某区域所属的详细车位列表信息</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0" w:name="_Toc19426"/>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.2原型界面</w:t>
      </w:r>
      <w:bookmarkEnd w:id="12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在车场管理-区域管理的操作列中增加“详情”按钮；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8710" cy="2851785"/>
            <wp:effectExtent l="0" t="0" r="8890" b="5715"/>
            <wp:docPr id="22" name="图片 22" descr="9_区域可以查询其包含车位列表信息（交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9_区域可以查询其包含车位列表信息（交互）"/>
                    <pic:cNvPicPr>
                      <a:picLocks noChangeAspect="1"/>
                    </pic:cNvPicPr>
                  </pic:nvPicPr>
                  <pic:blipFill>
                    <a:blip r:embed="rId22"/>
                    <a:stretch>
                      <a:fillRect/>
                    </a:stretch>
                  </pic:blipFill>
                  <pic:spPr>
                    <a:xfrm>
                      <a:off x="0" y="0"/>
                      <a:ext cx="6188710" cy="28517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点击“详情”按钮，弹出属于该区域的所有车位详情；</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（3）车位详情带搜索筛选框，可直接搜索指定的车位，并可查看车位所带的探测器的详情。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drawing>
          <wp:inline distT="0" distB="0" distL="114300" distR="114300">
            <wp:extent cx="6179185" cy="2881630"/>
            <wp:effectExtent l="0" t="0" r="5715" b="127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3"/>
                    <a:stretch>
                      <a:fillRect/>
                    </a:stretch>
                  </pic:blipFill>
                  <pic:spPr>
                    <a:xfrm>
                      <a:off x="0" y="0"/>
                      <a:ext cx="6179185" cy="2881630"/>
                    </a:xfrm>
                    <a:prstGeom prst="rect">
                      <a:avLst/>
                    </a:prstGeom>
                    <a:noFill/>
                    <a:ln w="9525">
                      <a:noFill/>
                    </a:ln>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1" w:name="_Toc16675"/>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.3流程图</w:t>
      </w:r>
      <w:bookmarkEnd w:id="12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2" w:name="_Toc19349"/>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.4功能按钮说明</w:t>
      </w:r>
      <w:bookmarkEnd w:id="12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3" w:name="_Toc7817"/>
      <w:r>
        <w:rPr>
          <w:rFonts w:hint="eastAsia" w:ascii="黑体" w:hAnsi="黑体" w:eastAsia="黑体" w:cs="黑体"/>
          <w:szCs w:val="22"/>
          <w:lang w:val="en-US" w:eastAsia="zh-CN"/>
        </w:rPr>
        <w:t>3.2.</w:t>
      </w:r>
      <w:r>
        <w:rPr>
          <w:rFonts w:hint="eastAsia" w:ascii="黑体" w:hAnsi="黑体" w:cs="黑体"/>
          <w:szCs w:val="22"/>
          <w:lang w:val="en-US" w:eastAsia="zh-CN"/>
        </w:rPr>
        <w:t>10</w:t>
      </w:r>
      <w:r>
        <w:rPr>
          <w:rFonts w:hint="eastAsia" w:ascii="黑体" w:hAnsi="黑体" w:eastAsia="黑体" w:cs="黑体"/>
          <w:szCs w:val="22"/>
          <w:lang w:val="en-US" w:eastAsia="zh-CN"/>
        </w:rPr>
        <w:t>.5用例</w:t>
      </w:r>
      <w:bookmarkEnd w:id="12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24" w:name="_Toc31746"/>
      <w:r>
        <w:rPr>
          <w:rFonts w:hint="eastAsia" w:ascii="黑体" w:hAnsi="黑体" w:eastAsia="黑体" w:cs="黑体"/>
          <w:sz w:val="30"/>
          <w:szCs w:val="30"/>
          <w:lang w:val="en-US" w:eastAsia="zh-CN"/>
        </w:rPr>
        <w:t>3.2.11 地图编辑器配色规范</w:t>
      </w:r>
      <w:bookmarkEnd w:id="12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5" w:name="_Toc6412"/>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bookmarkEnd w:id="12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更改绘制区域的背景样式面板，将原来的推荐配色+自定义配色面板，改为三组推荐配色组合+自定义配色面板。自定义配色面板默认收起，引导用户使用规范的推荐配色组合。</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6" w:name="_Toc14395"/>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bookmarkEnd w:id="12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绘制区域时，设置背景样式面板调整为三组推荐配色和一个自定义配色面板；每组推荐配色包括底图颜色×1、区域颜色×6、以及组合效果图，点击效果图可弹出查看大图；自定义配色面板默认收起，用户点击展开才展开色板。</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背景制作-绘制工具中增加文本编辑工具。当用户选用推荐配色时，将对文字标识的字号和颜色进行约束。如用户选择推荐配色一的底图时，用户添加文字标识，将会约束添加的文字标识的字号为XX号，色号为#XXXXXX。具体推荐配色对文字标识的约束以定稿UI为准。</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将内容制作-标识工具栏移至背景制作工具栏中。</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0455" cy="2850515"/>
            <wp:effectExtent l="0" t="0" r="4445" b="6985"/>
            <wp:docPr id="23" name="图片 23" descr="E:\工作夹\AKE\2017\-产品\原型导出图片\MPGS\V2.4.0\11_地图编辑器配色规范（交互）.png11_地图编辑器配色规范（交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E:\工作夹\AKE\2017\-产品\原型导出图片\MPGS\V2.4.0\11_地图编辑器配色规范（交互）.png11_地图编辑器配色规范（交互）"/>
                    <pic:cNvPicPr>
                      <a:picLocks noChangeAspect="1"/>
                    </pic:cNvPicPr>
                  </pic:nvPicPr>
                  <pic:blipFill>
                    <a:blip r:embed="rId24"/>
                    <a:srcRect/>
                    <a:stretch>
                      <a:fillRect/>
                    </a:stretch>
                  </pic:blipFill>
                  <pic:spPr>
                    <a:xfrm>
                      <a:off x="0" y="0"/>
                      <a:ext cx="6180455" cy="28505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3584575" cy="2862580"/>
            <wp:effectExtent l="0" t="0" r="9525" b="7620"/>
            <wp:docPr id="27" name="图片 27" descr="E:\工作夹\AKE\2017\-产品\原型导出图片\MPGS\V2.4.0\11_2内页展示.png11_2内页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E:\工作夹\AKE\2017\-产品\原型导出图片\MPGS\V2.4.0\11_2内页展示.png11_2内页展示"/>
                    <pic:cNvPicPr>
                      <a:picLocks noChangeAspect="1"/>
                    </pic:cNvPicPr>
                  </pic:nvPicPr>
                  <pic:blipFill>
                    <a:blip r:embed="rId25"/>
                    <a:srcRect/>
                    <a:stretch>
                      <a:fillRect/>
                    </a:stretch>
                  </pic:blipFill>
                  <pic:spPr>
                    <a:xfrm>
                      <a:off x="0" y="0"/>
                      <a:ext cx="3584575" cy="28625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object>
          <v:shape id="_x0000_i1026" o:spt="75" type="#_x0000_t75" style="height:65.5pt;width:72.5pt;" o:ole="t" filled="f" o:preferrelative="t" stroked="f" coordsize="21600,21600">
            <v:path/>
            <v:fill on="f" focussize="0,0"/>
            <v:stroke on="f"/>
            <v:imagedata r:id="rId27" o:title=""/>
            <o:lock v:ext="edit" aspectratio="t"/>
            <w10:wrap type="none"/>
            <w10:anchorlock/>
          </v:shape>
          <o:OLEObject Type="Embed" ProgID="Word.Document.12" ShapeID="_x0000_i1026" DrawAspect="Icon" ObjectID="_1468075726" r:id="rId26">
            <o:LockedField>false</o:LockedField>
          </o:OLEObject>
        </w:objec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7" w:name="_Toc29620"/>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bookmarkEnd w:id="127"/>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8" w:name="_Toc17003"/>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bookmarkEnd w:id="12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29" w:name="_Toc11860"/>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bookmarkEnd w:id="12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130" w:name="_Toc4122"/>
      <w:r>
        <w:rPr>
          <w:rFonts w:hint="eastAsia" w:ascii="黑体" w:hAnsi="黑体" w:eastAsia="黑体" w:cs="黑体"/>
          <w:sz w:val="30"/>
          <w:szCs w:val="30"/>
          <w:lang w:val="en-US" w:eastAsia="zh-CN"/>
        </w:rPr>
        <w:t>3.2.12 增加视频探头解绑车位的约束</w:t>
      </w:r>
      <w:bookmarkEnd w:id="13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1" w:name="_Toc12598"/>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.1功能说明</w:t>
      </w:r>
      <w:bookmarkEnd w:id="13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用户解除绑定关系时，自动检测解除的绑定关系是否为最后建立的关系。如：视频管理器绑定了探测器编号为A1108111-0、A1108111-1和A1108111-2的三个车位，用户点击解除绑定关系时，必须按后先顺序逐个解除A1108111-2&gt;A1108111-1&gt;A1108111-0的顺序。</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（2）若检测到没有按照绑定的后先顺序解除将不执行解除关系操作，并提示：“请按照绑定的后先顺序（2&gt;1&gt;0）解除绑定关系!”</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2" w:name="_Toc5579"/>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.2原型界面</w:t>
      </w:r>
      <w:bookmarkEnd w:id="132"/>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360" cy="3763010"/>
            <wp:effectExtent l="0" t="0" r="2540" b="8890"/>
            <wp:docPr id="14" name="图片 14" descr="12_增加视频探头绑定车位的约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2_增加视频探头绑定车位的约束"/>
                    <pic:cNvPicPr>
                      <a:picLocks noChangeAspect="1"/>
                    </pic:cNvPicPr>
                  </pic:nvPicPr>
                  <pic:blipFill>
                    <a:blip r:embed="rId28"/>
                    <a:stretch>
                      <a:fillRect/>
                    </a:stretch>
                  </pic:blipFill>
                  <pic:spPr>
                    <a:xfrm>
                      <a:off x="0" y="0"/>
                      <a:ext cx="6182360" cy="3763010"/>
                    </a:xfrm>
                    <a:prstGeom prst="rect">
                      <a:avLst/>
                    </a:prstGeom>
                  </pic:spPr>
                </pic:pic>
              </a:graphicData>
            </a:graphic>
          </wp:inline>
        </w:drawing>
      </w:r>
      <w:bookmarkStart w:id="167" w:name="_GoBack"/>
      <w:bookmarkEnd w:id="167"/>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3" w:name="_Toc32448"/>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.3流程图</w:t>
      </w:r>
      <w:bookmarkEnd w:id="13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4" w:name="_Toc29809"/>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.4功能按钮说明</w:t>
      </w:r>
      <w:bookmarkEnd w:id="13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35" w:name="_Toc25504"/>
      <w:r>
        <w:rPr>
          <w:rFonts w:hint="eastAsia" w:ascii="黑体" w:hAnsi="黑体" w:eastAsia="黑体" w:cs="黑体"/>
          <w:szCs w:val="22"/>
          <w:lang w:val="en-US" w:eastAsia="zh-CN"/>
        </w:rPr>
        <w:t>3.2.</w:t>
      </w:r>
      <w:r>
        <w:rPr>
          <w:rFonts w:hint="eastAsia" w:ascii="黑体" w:hAnsi="黑体" w:cs="黑体"/>
          <w:szCs w:val="22"/>
          <w:lang w:val="en-US" w:eastAsia="zh-CN"/>
        </w:rPr>
        <w:t>11</w:t>
      </w:r>
      <w:r>
        <w:rPr>
          <w:rFonts w:hint="eastAsia" w:ascii="黑体" w:hAnsi="黑体" w:eastAsia="黑体" w:cs="黑体"/>
          <w:szCs w:val="22"/>
          <w:lang w:val="en-US" w:eastAsia="zh-CN"/>
        </w:rPr>
        <w:t>.5用例</w:t>
      </w:r>
      <w:bookmarkEnd w:id="135"/>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36" w:name="_Toc5080"/>
      <w:bookmarkStart w:id="137" w:name="_Toc16257"/>
      <w:r>
        <w:rPr>
          <w:rFonts w:hint="eastAsia" w:ascii="黑体" w:hAnsi="黑体" w:eastAsia="黑体" w:cs="黑体"/>
          <w:szCs w:val="22"/>
          <w:lang w:val="en-US" w:eastAsia="zh-CN"/>
        </w:rPr>
        <w:t>4.非功能性需求</w:t>
      </w:r>
      <w:bookmarkEnd w:id="136"/>
      <w:bookmarkEnd w:id="137"/>
    </w:p>
    <w:tbl>
      <w:tblPr>
        <w:tblStyle w:val="13"/>
        <w:tblW w:w="9500" w:type="dxa"/>
        <w:jc w:val="center"/>
        <w:tblInd w:w="-1495"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46"/>
        <w:gridCol w:w="6348"/>
        <w:gridCol w:w="1306"/>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9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vAlign w:val="center"/>
          </w:tcPr>
          <w:p>
            <w:pPr>
              <w:widowControl/>
              <w:snapToGrid/>
              <w:spacing w:line="400" w:lineRule="exact"/>
              <w:ind w:left="0" w:right="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widowControl/>
              <w:spacing w:beforeAutospacing="1" w:afterAutospacing="1" w:line="400" w:lineRule="exact"/>
              <w:ind w:left="0" w:right="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val="en-US"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bookmarkStart w:id="138" w:name="_Toc7429177"/>
            <w:bookmarkEnd w:id="138"/>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bl>
    <w:p>
      <w:pPr>
        <w:rPr>
          <w:rFonts w:hint="eastAsia"/>
          <w:lang w:val="en-US" w:eastAsia="zh-CN"/>
        </w:rPr>
      </w:pPr>
      <w:bookmarkStart w:id="139" w:name="_Toc16300"/>
      <w:bookmarkEnd w:id="139"/>
      <w:bookmarkStart w:id="140" w:name="_Toc20296"/>
      <w:bookmarkEnd w:id="140"/>
      <w:bookmarkStart w:id="141" w:name="_Toc31005"/>
      <w:bookmarkEnd w:id="141"/>
      <w:bookmarkStart w:id="142"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43" w:name="_Toc10698"/>
      <w:bookmarkStart w:id="144" w:name="_Toc8453"/>
      <w:r>
        <w:rPr>
          <w:rFonts w:hint="eastAsia" w:ascii="黑体" w:hAnsi="黑体" w:eastAsia="黑体" w:cs="黑体"/>
          <w:szCs w:val="22"/>
          <w:lang w:val="en-US" w:eastAsia="zh-CN"/>
        </w:rPr>
        <w:t>5.外部接口说明</w:t>
      </w:r>
      <w:bookmarkEnd w:id="142"/>
      <w:bookmarkEnd w:id="143"/>
      <w:bookmarkEnd w:id="14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45" w:name="_Toc9737"/>
      <w:bookmarkEnd w:id="145"/>
      <w:bookmarkStart w:id="146" w:name="_Toc4050"/>
      <w:bookmarkEnd w:id="146"/>
      <w:bookmarkStart w:id="147" w:name="_Toc2018"/>
      <w:bookmarkEnd w:id="147"/>
      <w:bookmarkStart w:id="148" w:name="_Toc1804"/>
      <w:bookmarkStart w:id="149" w:name="_Toc28063"/>
      <w:bookmarkStart w:id="150" w:name="_Toc2226"/>
      <w:r>
        <w:rPr>
          <w:rFonts w:hint="eastAsia" w:ascii="黑体" w:hAnsi="黑体" w:eastAsia="黑体" w:cs="黑体"/>
          <w:szCs w:val="22"/>
          <w:lang w:val="en-US" w:eastAsia="zh-CN"/>
        </w:rPr>
        <w:t>6.附件</w:t>
      </w:r>
      <w:bookmarkEnd w:id="148"/>
      <w:bookmarkEnd w:id="149"/>
      <w:bookmarkEnd w:id="15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51" w:name="_Toc12766"/>
      <w:bookmarkEnd w:id="151"/>
      <w:bookmarkStart w:id="152" w:name="_Toc7732"/>
      <w:bookmarkEnd w:id="152"/>
      <w:bookmarkStart w:id="153" w:name="_Toc8307"/>
      <w:bookmarkEnd w:id="153"/>
      <w:bookmarkStart w:id="154" w:name="_Toc19341"/>
      <w:bookmarkStart w:id="155" w:name="_Toc21233"/>
      <w:bookmarkStart w:id="156" w:name="_Toc10731"/>
      <w:r>
        <w:rPr>
          <w:rFonts w:hint="eastAsia" w:ascii="黑体" w:hAnsi="黑体" w:eastAsia="黑体" w:cs="黑体"/>
          <w:szCs w:val="22"/>
          <w:lang w:val="en-US" w:eastAsia="zh-CN"/>
        </w:rPr>
        <w:t>7.附录</w:t>
      </w:r>
      <w:bookmarkEnd w:id="154"/>
      <w:bookmarkEnd w:id="155"/>
      <w:bookmarkEnd w:id="156"/>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57" w:name="_Toc20160"/>
      <w:bookmarkEnd w:id="157"/>
      <w:bookmarkStart w:id="158" w:name="_Toc25562"/>
      <w:bookmarkEnd w:id="158"/>
      <w:bookmarkStart w:id="159" w:name="_Toc10464"/>
      <w:bookmarkStart w:id="160" w:name="_Toc17965"/>
      <w:bookmarkStart w:id="161" w:name="_Toc1710"/>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159"/>
      <w:bookmarkEnd w:id="160"/>
      <w:bookmarkEnd w:id="161"/>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262"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sz w:val="21"/>
                <w:szCs w:val="21"/>
                <w:lang w:val="en-US" w:eastAsia="zh-CN"/>
              </w:rPr>
            </w:pPr>
          </w:p>
        </w:tc>
        <w:tc>
          <w:tcPr>
            <w:tcW w:w="3450" w:type="dxa"/>
            <w:shd w:val="clear" w:color="auto" w:fill="auto"/>
            <w:tcMar>
              <w:left w:w="108" w:type="dxa"/>
            </w:tcMar>
          </w:tcPr>
          <w:p>
            <w:pPr>
              <w:rPr>
                <w:rFonts w:hint="eastAsia" w:ascii="黑体" w:hAnsi="黑体" w:eastAsia="黑体" w:cs="黑体"/>
                <w:sz w:val="21"/>
                <w:szCs w:val="21"/>
                <w:lang w:eastAsia="zh-CN"/>
              </w:rPr>
            </w:pPr>
          </w:p>
        </w:tc>
        <w:tc>
          <w:tcPr>
            <w:tcW w:w="3810" w:type="dxa"/>
            <w:shd w:val="clear" w:color="auto" w:fill="auto"/>
            <w:tcMar>
              <w:left w:w="108" w:type="dxa"/>
            </w:tcMar>
          </w:tcPr>
          <w:p>
            <w:pPr>
              <w:rPr>
                <w:rFonts w:hint="eastAsia" w:ascii="黑体" w:hAnsi="黑体" w:eastAsia="黑体" w:cs="黑体"/>
                <w:sz w:val="21"/>
                <w:szCs w:val="21"/>
                <w:lang w:eastAsia="zh-CN"/>
              </w:rPr>
            </w:pPr>
          </w:p>
        </w:tc>
      </w:tr>
    </w:tbl>
    <w:p>
      <w:pPr>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62" w:name="_Toc1779"/>
      <w:bookmarkEnd w:id="162"/>
      <w:bookmarkStart w:id="163" w:name="_Toc32744"/>
      <w:bookmarkEnd w:id="163"/>
      <w:bookmarkStart w:id="164" w:name="_Toc9981"/>
      <w:bookmarkStart w:id="165" w:name="_Toc14509"/>
      <w:bookmarkStart w:id="166" w:name="_Toc5003"/>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164"/>
      <w:bookmarkEnd w:id="165"/>
      <w:bookmarkEnd w:id="16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F9768D"/>
    <w:multiLevelType w:val="singleLevel"/>
    <w:tmpl w:val="55F9768D"/>
    <w:lvl w:ilvl="0" w:tentative="0">
      <w:start w:val="1"/>
      <w:numFmt w:val="decimal"/>
      <w:suff w:val="nothing"/>
      <w:lvlText w:val="%1、"/>
      <w:lvlJc w:val="left"/>
    </w:lvl>
  </w:abstractNum>
  <w:abstractNum w:abstractNumId="1">
    <w:nsid w:val="55F97F5F"/>
    <w:multiLevelType w:val="singleLevel"/>
    <w:tmpl w:val="55F97F5F"/>
    <w:lvl w:ilvl="0" w:tentative="0">
      <w:start w:val="1"/>
      <w:numFmt w:val="decimal"/>
      <w:suff w:val="nothing"/>
      <w:lvlText w:val="%1、"/>
      <w:lvlJc w:val="left"/>
    </w:lvl>
  </w:abstractNum>
  <w:abstractNum w:abstractNumId="2">
    <w:nsid w:val="55F998A4"/>
    <w:multiLevelType w:val="singleLevel"/>
    <w:tmpl w:val="55F998A4"/>
    <w:lvl w:ilvl="0" w:tentative="0">
      <w:start w:val="1"/>
      <w:numFmt w:val="decimal"/>
      <w:suff w:val="nothing"/>
      <w:lvlText w:val="%1、"/>
      <w:lvlJc w:val="left"/>
    </w:lvl>
  </w:abstractNum>
  <w:abstractNum w:abstractNumId="3">
    <w:nsid w:val="55F9993B"/>
    <w:multiLevelType w:val="singleLevel"/>
    <w:tmpl w:val="55F9993B"/>
    <w:lvl w:ilvl="0" w:tentative="0">
      <w:start w:val="1"/>
      <w:numFmt w:val="decimal"/>
      <w:suff w:val="nothing"/>
      <w:lvlText w:val="%1、"/>
      <w:lvlJc w:val="left"/>
    </w:lvl>
  </w:abstractNum>
  <w:abstractNum w:abstractNumId="4">
    <w:nsid w:val="55FCFACF"/>
    <w:multiLevelType w:val="singleLevel"/>
    <w:tmpl w:val="55FCFACF"/>
    <w:lvl w:ilvl="0" w:tentative="0">
      <w:start w:val="1"/>
      <w:numFmt w:val="decimal"/>
      <w:suff w:val="nothing"/>
      <w:lvlText w:val="%1、"/>
      <w:lvlJc w:val="left"/>
    </w:lvl>
  </w:abstractNum>
  <w:abstractNum w:abstractNumId="5">
    <w:nsid w:val="56AD97C3"/>
    <w:multiLevelType w:val="singleLevel"/>
    <w:tmpl w:val="56AD97C3"/>
    <w:lvl w:ilvl="0" w:tentative="0">
      <w:start w:val="1"/>
      <w:numFmt w:val="decimal"/>
      <w:suff w:val="nothing"/>
      <w:lvlText w:val="%1、"/>
      <w:lvlJc w:val="left"/>
    </w:lvl>
  </w:abstractNum>
  <w:abstractNum w:abstractNumId="6">
    <w:nsid w:val="56AD982D"/>
    <w:multiLevelType w:val="singleLevel"/>
    <w:tmpl w:val="56AD982D"/>
    <w:lvl w:ilvl="0" w:tentative="0">
      <w:start w:val="1"/>
      <w:numFmt w:val="decimal"/>
      <w:suff w:val="nothing"/>
      <w:lvlText w:val="%1、"/>
      <w:lvlJc w:val="left"/>
    </w:lvl>
  </w:abstractNum>
  <w:abstractNum w:abstractNumId="7">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8">
    <w:nsid w:val="59FF3EF2"/>
    <w:multiLevelType w:val="singleLevel"/>
    <w:tmpl w:val="59FF3EF2"/>
    <w:lvl w:ilvl="0" w:tentative="0">
      <w:start w:val="9"/>
      <w:numFmt w:val="decimal"/>
      <w:suff w:val="nothing"/>
      <w:lvlText w:val="%1、"/>
      <w:lvlJc w:val="left"/>
    </w:lvl>
  </w:abstractNum>
  <w:abstractNum w:abstractNumId="9">
    <w:nsid w:val="5A67E4D0"/>
    <w:multiLevelType w:val="singleLevel"/>
    <w:tmpl w:val="5A67E4D0"/>
    <w:lvl w:ilvl="0" w:tentative="0">
      <w:start w:val="1"/>
      <w:numFmt w:val="decimal"/>
      <w:suff w:val="nothing"/>
      <w:lvlText w:val="（%1）"/>
      <w:lvlJc w:val="left"/>
    </w:lvl>
  </w:abstractNum>
  <w:abstractNum w:abstractNumId="10">
    <w:nsid w:val="5A6805C2"/>
    <w:multiLevelType w:val="singleLevel"/>
    <w:tmpl w:val="5A6805C2"/>
    <w:lvl w:ilvl="0" w:tentative="0">
      <w:start w:val="1"/>
      <w:numFmt w:val="decimal"/>
      <w:suff w:val="nothing"/>
      <w:lvlText w:val="（%1）"/>
      <w:lvlJc w:val="left"/>
    </w:lvl>
  </w:abstractNum>
  <w:abstractNum w:abstractNumId="11">
    <w:nsid w:val="5A693704"/>
    <w:multiLevelType w:val="singleLevel"/>
    <w:tmpl w:val="5A693704"/>
    <w:lvl w:ilvl="0" w:tentative="0">
      <w:start w:val="1"/>
      <w:numFmt w:val="decimal"/>
      <w:suff w:val="nothing"/>
      <w:lvlText w:val="（%1）"/>
      <w:lvlJc w:val="left"/>
    </w:lvl>
  </w:abstractNum>
  <w:abstractNum w:abstractNumId="12">
    <w:nsid w:val="5A693A6C"/>
    <w:multiLevelType w:val="singleLevel"/>
    <w:tmpl w:val="5A693A6C"/>
    <w:lvl w:ilvl="0" w:tentative="0">
      <w:start w:val="1"/>
      <w:numFmt w:val="decimal"/>
      <w:suff w:val="nothing"/>
      <w:lvlText w:val="（%1）"/>
      <w:lvlJc w:val="left"/>
    </w:lvl>
  </w:abstractNum>
  <w:abstractNum w:abstractNumId="13">
    <w:nsid w:val="5A6ADC69"/>
    <w:multiLevelType w:val="singleLevel"/>
    <w:tmpl w:val="5A6ADC69"/>
    <w:lvl w:ilvl="0" w:tentative="0">
      <w:start w:val="1"/>
      <w:numFmt w:val="bullet"/>
      <w:lvlText w:val=""/>
      <w:lvlJc w:val="left"/>
      <w:pPr>
        <w:ind w:left="420" w:hanging="420"/>
      </w:pPr>
      <w:rPr>
        <w:rFonts w:hint="default" w:ascii="Wingdings" w:hAnsi="Wingdings"/>
      </w:rPr>
    </w:lvl>
  </w:abstractNum>
  <w:abstractNum w:abstractNumId="14">
    <w:nsid w:val="5A6EEB1C"/>
    <w:multiLevelType w:val="singleLevel"/>
    <w:tmpl w:val="5A6EEB1C"/>
    <w:lvl w:ilvl="0" w:tentative="0">
      <w:start w:val="1"/>
      <w:numFmt w:val="decimal"/>
      <w:suff w:val="nothing"/>
      <w:lvlText w:val="（%1）"/>
      <w:lvlJc w:val="left"/>
    </w:lvl>
  </w:abstractNum>
  <w:abstractNum w:abstractNumId="15">
    <w:nsid w:val="65CB3C71"/>
    <w:multiLevelType w:val="singleLevel"/>
    <w:tmpl w:val="65CB3C71"/>
    <w:lvl w:ilvl="0" w:tentative="0">
      <w:start w:val="1"/>
      <w:numFmt w:val="decimal"/>
      <w:suff w:val="nothing"/>
      <w:lvlText w:val="（%1）"/>
      <w:lvlJc w:val="left"/>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8"/>
  </w:num>
  <w:num w:numId="10">
    <w:abstractNumId w:val="14"/>
  </w:num>
  <w:num w:numId="11">
    <w:abstractNumId w:val="9"/>
  </w:num>
  <w:num w:numId="12">
    <w:abstractNumId w:val="10"/>
  </w:num>
  <w:num w:numId="13">
    <w:abstractNumId w:val="13"/>
  </w:num>
  <w:num w:numId="14">
    <w:abstractNumId w:val="15"/>
  </w:num>
  <w:num w:numId="15">
    <w:abstractNumId w:val="1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CD06F49"/>
    <w:rsid w:val="01412C42"/>
    <w:rsid w:val="02E60A75"/>
    <w:rsid w:val="03342ECF"/>
    <w:rsid w:val="03B94830"/>
    <w:rsid w:val="03E31839"/>
    <w:rsid w:val="03FA7154"/>
    <w:rsid w:val="04564343"/>
    <w:rsid w:val="045C4E8D"/>
    <w:rsid w:val="058B2EC2"/>
    <w:rsid w:val="06353BDA"/>
    <w:rsid w:val="063B28BA"/>
    <w:rsid w:val="07216DE8"/>
    <w:rsid w:val="08370E0F"/>
    <w:rsid w:val="08F52F8E"/>
    <w:rsid w:val="09792575"/>
    <w:rsid w:val="0A22165B"/>
    <w:rsid w:val="0AFA77BE"/>
    <w:rsid w:val="0B2C6C86"/>
    <w:rsid w:val="0CF0632E"/>
    <w:rsid w:val="0D3422E6"/>
    <w:rsid w:val="0E3A30BB"/>
    <w:rsid w:val="0E921E79"/>
    <w:rsid w:val="0EEF3643"/>
    <w:rsid w:val="0F9E138C"/>
    <w:rsid w:val="10213790"/>
    <w:rsid w:val="1036007F"/>
    <w:rsid w:val="10F463B6"/>
    <w:rsid w:val="115A4258"/>
    <w:rsid w:val="117F398C"/>
    <w:rsid w:val="11F57199"/>
    <w:rsid w:val="12096A7F"/>
    <w:rsid w:val="129217E1"/>
    <w:rsid w:val="14CF2EC9"/>
    <w:rsid w:val="15450503"/>
    <w:rsid w:val="15AD16E8"/>
    <w:rsid w:val="165F050B"/>
    <w:rsid w:val="17666C7B"/>
    <w:rsid w:val="18076A37"/>
    <w:rsid w:val="186A7018"/>
    <w:rsid w:val="192A4996"/>
    <w:rsid w:val="19953E17"/>
    <w:rsid w:val="19BC3791"/>
    <w:rsid w:val="19FE60EF"/>
    <w:rsid w:val="1A554449"/>
    <w:rsid w:val="1AEC4086"/>
    <w:rsid w:val="1B1558D2"/>
    <w:rsid w:val="1B3D379D"/>
    <w:rsid w:val="1B3E5F9A"/>
    <w:rsid w:val="1BBF563F"/>
    <w:rsid w:val="1C056559"/>
    <w:rsid w:val="1C8210CF"/>
    <w:rsid w:val="1CD06F49"/>
    <w:rsid w:val="1E4826E8"/>
    <w:rsid w:val="1E4F05A1"/>
    <w:rsid w:val="1E920C0D"/>
    <w:rsid w:val="1FA64F92"/>
    <w:rsid w:val="20395A17"/>
    <w:rsid w:val="206C73EA"/>
    <w:rsid w:val="217B4983"/>
    <w:rsid w:val="221F7D1B"/>
    <w:rsid w:val="236627B0"/>
    <w:rsid w:val="23B72971"/>
    <w:rsid w:val="23EF479E"/>
    <w:rsid w:val="24686A5E"/>
    <w:rsid w:val="249771E8"/>
    <w:rsid w:val="249E227B"/>
    <w:rsid w:val="24AA0A80"/>
    <w:rsid w:val="250F2555"/>
    <w:rsid w:val="254B133D"/>
    <w:rsid w:val="254B6885"/>
    <w:rsid w:val="2877661A"/>
    <w:rsid w:val="294D41B1"/>
    <w:rsid w:val="299A65EF"/>
    <w:rsid w:val="2AF56607"/>
    <w:rsid w:val="2B7D2034"/>
    <w:rsid w:val="2C89431A"/>
    <w:rsid w:val="2CD7410D"/>
    <w:rsid w:val="2D636D36"/>
    <w:rsid w:val="303660C4"/>
    <w:rsid w:val="30580989"/>
    <w:rsid w:val="30AC429A"/>
    <w:rsid w:val="30D73424"/>
    <w:rsid w:val="31D9363A"/>
    <w:rsid w:val="31E11053"/>
    <w:rsid w:val="33A979B4"/>
    <w:rsid w:val="34164B8B"/>
    <w:rsid w:val="354B02D5"/>
    <w:rsid w:val="35534482"/>
    <w:rsid w:val="35775E20"/>
    <w:rsid w:val="35C711DB"/>
    <w:rsid w:val="35CD4B16"/>
    <w:rsid w:val="35EB0108"/>
    <w:rsid w:val="36780322"/>
    <w:rsid w:val="378D6A65"/>
    <w:rsid w:val="37986597"/>
    <w:rsid w:val="37A04983"/>
    <w:rsid w:val="3AA7565D"/>
    <w:rsid w:val="3C923D54"/>
    <w:rsid w:val="3D0278DC"/>
    <w:rsid w:val="3D2979D9"/>
    <w:rsid w:val="3E3C52FA"/>
    <w:rsid w:val="3E3C6F0C"/>
    <w:rsid w:val="3E6D6AE5"/>
    <w:rsid w:val="3E884166"/>
    <w:rsid w:val="3E970770"/>
    <w:rsid w:val="3EF24D9D"/>
    <w:rsid w:val="3F8F2390"/>
    <w:rsid w:val="40213607"/>
    <w:rsid w:val="40473168"/>
    <w:rsid w:val="40D75162"/>
    <w:rsid w:val="41406609"/>
    <w:rsid w:val="41A46E15"/>
    <w:rsid w:val="41EE28DF"/>
    <w:rsid w:val="42CF7093"/>
    <w:rsid w:val="434830A2"/>
    <w:rsid w:val="43CE4EE3"/>
    <w:rsid w:val="43E65D04"/>
    <w:rsid w:val="4401240D"/>
    <w:rsid w:val="453C3D7A"/>
    <w:rsid w:val="459742DE"/>
    <w:rsid w:val="45A34800"/>
    <w:rsid w:val="45E62D98"/>
    <w:rsid w:val="46FB02FD"/>
    <w:rsid w:val="47E9662D"/>
    <w:rsid w:val="481F2798"/>
    <w:rsid w:val="48BC3456"/>
    <w:rsid w:val="48D55E81"/>
    <w:rsid w:val="499B7840"/>
    <w:rsid w:val="4AD20219"/>
    <w:rsid w:val="4AE61356"/>
    <w:rsid w:val="4B4936AC"/>
    <w:rsid w:val="4B56695C"/>
    <w:rsid w:val="4B891169"/>
    <w:rsid w:val="4C6C4F55"/>
    <w:rsid w:val="4C6D241F"/>
    <w:rsid w:val="4D513936"/>
    <w:rsid w:val="4DD55A13"/>
    <w:rsid w:val="4E4913B8"/>
    <w:rsid w:val="50345D09"/>
    <w:rsid w:val="506C4914"/>
    <w:rsid w:val="51E951F7"/>
    <w:rsid w:val="523311DA"/>
    <w:rsid w:val="52813883"/>
    <w:rsid w:val="52833821"/>
    <w:rsid w:val="52BA34CF"/>
    <w:rsid w:val="52F63164"/>
    <w:rsid w:val="53CD5AD1"/>
    <w:rsid w:val="53F66372"/>
    <w:rsid w:val="543E2368"/>
    <w:rsid w:val="54E8350E"/>
    <w:rsid w:val="55BB457A"/>
    <w:rsid w:val="55DA0BF9"/>
    <w:rsid w:val="562C3D70"/>
    <w:rsid w:val="569964DD"/>
    <w:rsid w:val="588C512A"/>
    <w:rsid w:val="58B13353"/>
    <w:rsid w:val="59440A86"/>
    <w:rsid w:val="599F0F67"/>
    <w:rsid w:val="59B6754C"/>
    <w:rsid w:val="5A531600"/>
    <w:rsid w:val="5A534118"/>
    <w:rsid w:val="5A921760"/>
    <w:rsid w:val="5B4D51F1"/>
    <w:rsid w:val="5C130308"/>
    <w:rsid w:val="5C5A6CFF"/>
    <w:rsid w:val="5C672B92"/>
    <w:rsid w:val="5C8E72D4"/>
    <w:rsid w:val="5CA143F3"/>
    <w:rsid w:val="5CA70118"/>
    <w:rsid w:val="5D727281"/>
    <w:rsid w:val="5DD072C7"/>
    <w:rsid w:val="5E962873"/>
    <w:rsid w:val="5F211A87"/>
    <w:rsid w:val="5F2D4918"/>
    <w:rsid w:val="5F3F54E5"/>
    <w:rsid w:val="5F8318F5"/>
    <w:rsid w:val="5F8E1610"/>
    <w:rsid w:val="600B6049"/>
    <w:rsid w:val="636D26B1"/>
    <w:rsid w:val="637F0B31"/>
    <w:rsid w:val="63C0531D"/>
    <w:rsid w:val="64C95BD4"/>
    <w:rsid w:val="664D7022"/>
    <w:rsid w:val="66A95E9B"/>
    <w:rsid w:val="66ED57F0"/>
    <w:rsid w:val="686A5BEB"/>
    <w:rsid w:val="68C62836"/>
    <w:rsid w:val="6D567943"/>
    <w:rsid w:val="6E443EBF"/>
    <w:rsid w:val="70157909"/>
    <w:rsid w:val="70407CA6"/>
    <w:rsid w:val="712935AC"/>
    <w:rsid w:val="7159117F"/>
    <w:rsid w:val="71CF2844"/>
    <w:rsid w:val="71E946B0"/>
    <w:rsid w:val="722D6AD3"/>
    <w:rsid w:val="72DF3BF9"/>
    <w:rsid w:val="740132B6"/>
    <w:rsid w:val="747D1DCF"/>
    <w:rsid w:val="7503387C"/>
    <w:rsid w:val="755505F5"/>
    <w:rsid w:val="756C2DB9"/>
    <w:rsid w:val="76075456"/>
    <w:rsid w:val="767455FE"/>
    <w:rsid w:val="775A1138"/>
    <w:rsid w:val="776E47B6"/>
    <w:rsid w:val="77A154F6"/>
    <w:rsid w:val="77B321FD"/>
    <w:rsid w:val="78556A48"/>
    <w:rsid w:val="78AE2B3D"/>
    <w:rsid w:val="7985752B"/>
    <w:rsid w:val="7A885C90"/>
    <w:rsid w:val="7A940059"/>
    <w:rsid w:val="7AE11D2A"/>
    <w:rsid w:val="7B55150B"/>
    <w:rsid w:val="7D05104A"/>
    <w:rsid w:val="7D12270D"/>
    <w:rsid w:val="7EBD3894"/>
    <w:rsid w:val="7EC5349F"/>
    <w:rsid w:val="7EDF655B"/>
    <w:rsid w:val="7F371C4A"/>
    <w:rsid w:val="7F98021E"/>
    <w:rsid w:val="7FD96A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框架内容"/>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3.png"/><Relationship Id="rId27" Type="http://schemas.openxmlformats.org/officeDocument/2006/relationships/image" Target="media/image22.emf"/><Relationship Id="rId26" Type="http://schemas.openxmlformats.org/officeDocument/2006/relationships/oleObject" Target="embeddings/oleObject2.bin"/><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emf"/><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2018-01-20T01:18:00Z</dcterms:created>
  <dc:creator>北北</dc:creator>
  <cp:lastModifiedBy>北北</cp:lastModifiedBy>
  <dcterms:modified xsi:type="dcterms:W3CDTF">2018-04-04T03:49:48Z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