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p>
      <w:pPr>
        <w:pStyle w:val="2"/>
        <w:jc w:val="center"/>
        <w:rPr>
          <w:rFonts w:hint="eastAsia" w:ascii="黑体" w:hAnsi="黑体" w:eastAsia="黑体" w:cs="黑体"/>
          <w:sz w:val="44"/>
          <w:szCs w:val="44"/>
          <w:lang w:val="en-US" w:eastAsia="zh-CN"/>
        </w:rPr>
      </w:pPr>
      <w:bookmarkStart w:id="1" w:name="_Toc24294"/>
      <w:bookmarkStart w:id="2" w:name="_Toc6965"/>
      <w:r>
        <w:rPr>
          <w:rFonts w:hint="eastAsia" w:ascii="黑体" w:hAnsi="黑体" w:eastAsia="黑体" w:cs="黑体"/>
          <w:sz w:val="44"/>
          <w:szCs w:val="44"/>
          <w:lang w:val="en-US" w:eastAsia="zh-CN"/>
        </w:rPr>
        <w:t>MPGS V2.4.</w:t>
      </w:r>
      <w:bookmarkEnd w:id="0"/>
      <w:bookmarkEnd w:id="1"/>
      <w:r>
        <w:rPr>
          <w:rFonts w:hint="eastAsia" w:ascii="黑体" w:hAnsi="黑体" w:eastAsia="黑体" w:cs="黑体"/>
          <w:sz w:val="44"/>
          <w:szCs w:val="44"/>
          <w:lang w:val="en-US" w:eastAsia="zh-CN"/>
        </w:rPr>
        <w:t>1</w:t>
      </w:r>
      <w:bookmarkEnd w:id="2"/>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MPGS </w:t>
                            </w:r>
                            <w:r>
                              <w:rPr>
                                <w:rFonts w:hint="eastAsia" w:ascii="黑体" w:hAnsi="黑体" w:eastAsia="黑体" w:cs="黑体"/>
                                <w:color w:val="000000"/>
                                <w:u w:val="single"/>
                              </w:rPr>
                              <w:t>V2.</w:t>
                            </w:r>
                            <w:r>
                              <w:rPr>
                                <w:rFonts w:hint="eastAsia" w:ascii="黑体" w:hAnsi="黑体" w:eastAsia="黑体" w:cs="黑体"/>
                                <w:color w:val="000000"/>
                                <w:u w:val="single"/>
                                <w:lang w:val="en-US" w:eastAsia="zh-CN"/>
                              </w:rPr>
                              <w:t>4</w:t>
                            </w:r>
                            <w:r>
                              <w:rPr>
                                <w:rFonts w:hint="eastAsia" w:ascii="黑体" w:hAnsi="黑体" w:eastAsia="黑体" w:cs="黑体"/>
                                <w:color w:val="000000"/>
                                <w:u w:val="single"/>
                              </w:rPr>
                              <w:t>.</w:t>
                            </w:r>
                            <w:r>
                              <w:rPr>
                                <w:rFonts w:hint="eastAsia" w:ascii="黑体" w:hAnsi="黑体" w:eastAsia="黑体" w:cs="黑体"/>
                                <w:color w:val="000000"/>
                                <w:u w:val="single"/>
                                <w:lang w:val="en-US" w:eastAsia="zh-CN"/>
                              </w:rPr>
                              <w:t>1</w:t>
                            </w:r>
                            <w:r>
                              <w:rPr>
                                <w:rFonts w:hint="eastAsia" w:ascii="黑体" w:hAnsi="黑体" w:eastAsia="黑体" w:cs="黑体"/>
                                <w:color w:val="000000"/>
                                <w:u w:val="single"/>
                              </w:rPr>
                              <w:t xml:space="preserve">_需求规格说明书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V2</w:t>
                            </w:r>
                            <w:r>
                              <w:rPr>
                                <w:rFonts w:hint="eastAsia" w:ascii="黑体" w:hAnsi="黑体" w:eastAsia="黑体" w:cs="黑体"/>
                                <w:bCs/>
                                <w:u w:val="single"/>
                              </w:rPr>
                              <w:t>.</w:t>
                            </w:r>
                            <w:r>
                              <w:rPr>
                                <w:rFonts w:hint="eastAsia" w:ascii="黑体" w:hAnsi="黑体" w:eastAsia="黑体" w:cs="黑体"/>
                                <w:bCs/>
                                <w:u w:val="single"/>
                                <w:lang w:val="en-US" w:eastAsia="zh-CN"/>
                              </w:rPr>
                              <w:t>4.1</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MPGS </w:t>
                      </w:r>
                      <w:r>
                        <w:rPr>
                          <w:rFonts w:hint="eastAsia" w:ascii="黑体" w:hAnsi="黑体" w:eastAsia="黑体" w:cs="黑体"/>
                          <w:color w:val="000000"/>
                          <w:u w:val="single"/>
                        </w:rPr>
                        <w:t>V2.</w:t>
                      </w:r>
                      <w:r>
                        <w:rPr>
                          <w:rFonts w:hint="eastAsia" w:ascii="黑体" w:hAnsi="黑体" w:eastAsia="黑体" w:cs="黑体"/>
                          <w:color w:val="000000"/>
                          <w:u w:val="single"/>
                          <w:lang w:val="en-US" w:eastAsia="zh-CN"/>
                        </w:rPr>
                        <w:t>4</w:t>
                      </w:r>
                      <w:r>
                        <w:rPr>
                          <w:rFonts w:hint="eastAsia" w:ascii="黑体" w:hAnsi="黑体" w:eastAsia="黑体" w:cs="黑体"/>
                          <w:color w:val="000000"/>
                          <w:u w:val="single"/>
                        </w:rPr>
                        <w:t>.</w:t>
                      </w:r>
                      <w:r>
                        <w:rPr>
                          <w:rFonts w:hint="eastAsia" w:ascii="黑体" w:hAnsi="黑体" w:eastAsia="黑体" w:cs="黑体"/>
                          <w:color w:val="000000"/>
                          <w:u w:val="single"/>
                          <w:lang w:val="en-US" w:eastAsia="zh-CN"/>
                        </w:rPr>
                        <w:t>1</w:t>
                      </w:r>
                      <w:r>
                        <w:rPr>
                          <w:rFonts w:hint="eastAsia" w:ascii="黑体" w:hAnsi="黑体" w:eastAsia="黑体" w:cs="黑体"/>
                          <w:color w:val="000000"/>
                          <w:u w:val="single"/>
                        </w:rPr>
                        <w:t xml:space="preserve">_需求规格说明书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V2</w:t>
                      </w:r>
                      <w:r>
                        <w:rPr>
                          <w:rFonts w:hint="eastAsia" w:ascii="黑体" w:hAnsi="黑体" w:eastAsia="黑体" w:cs="黑体"/>
                          <w:bCs/>
                          <w:u w:val="single"/>
                        </w:rPr>
                        <w:t>.</w:t>
                      </w:r>
                      <w:r>
                        <w:rPr>
                          <w:rFonts w:hint="eastAsia" w:ascii="黑体" w:hAnsi="黑体" w:eastAsia="黑体" w:cs="黑体"/>
                          <w:bCs/>
                          <w:u w:val="single"/>
                          <w:lang w:val="en-US" w:eastAsia="zh-CN"/>
                        </w:rPr>
                        <w:t>4.1</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3" w:name="_Toc21290"/>
      <w:bookmarkStart w:id="4" w:name="_Toc15308"/>
      <w:bookmarkStart w:id="5" w:name="_Toc29727"/>
      <w:bookmarkStart w:id="6" w:name="_Toc22507"/>
      <w:r>
        <w:rPr>
          <w:rFonts w:hint="eastAsia" w:ascii="黑体" w:hAnsi="黑体" w:eastAsia="黑体" w:cs="黑体"/>
          <w:sz w:val="36"/>
          <w:szCs w:val="36"/>
          <w:lang w:val="en-US" w:eastAsia="zh-CN"/>
        </w:rPr>
        <w:t>修订记录</w:t>
      </w:r>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2018-04-08</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新建MPGS V2.4.1需求文档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7" w:name="_Toc25685"/>
      <w:bookmarkStart w:id="8" w:name="_Toc29388"/>
      <w:bookmarkStart w:id="9" w:name="_Toc21089"/>
      <w:r>
        <w:rPr>
          <w:rFonts w:hint="eastAsia" w:ascii="黑体" w:hAnsi="黑体" w:eastAsia="黑体" w:cs="黑体"/>
          <w:sz w:val="36"/>
          <w:szCs w:val="36"/>
          <w:lang w:val="en-US" w:eastAsia="zh-CN"/>
        </w:rPr>
        <w:t>目录</w:t>
      </w:r>
      <w:bookmarkEnd w:id="7"/>
      <w:bookmarkEnd w:id="8"/>
      <w:bookmarkEnd w:id="9"/>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_Toc6965 </w:instrText>
      </w:r>
      <w:r>
        <w:rPr>
          <w:rFonts w:hint="eastAsia"/>
          <w:lang w:val="en-US" w:eastAsia="zh-CN"/>
        </w:rPr>
        <w:fldChar w:fldCharType="separate"/>
      </w:r>
      <w:r>
        <w:rPr>
          <w:rFonts w:hint="eastAsia" w:ascii="黑体" w:hAnsi="黑体" w:eastAsia="黑体" w:cs="黑体"/>
          <w:szCs w:val="44"/>
          <w:lang w:val="en-US" w:eastAsia="zh-CN"/>
        </w:rPr>
        <w:t>MPGS V2.4.1</w:t>
      </w:r>
      <w:r>
        <w:tab/>
      </w:r>
      <w:r>
        <w:fldChar w:fldCharType="begin"/>
      </w:r>
      <w:r>
        <w:instrText xml:space="preserve"> PAGEREF _Toc6965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_Toc22507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_Toc22507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_Toc25685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_Toc25685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_Toc31466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_Toc31466 </w:instrText>
      </w:r>
      <w:r>
        <w:fldChar w:fldCharType="separate"/>
      </w:r>
      <w:r>
        <w:t>4</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_Toc14694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_Toc14694 </w:instrText>
      </w:r>
      <w:r>
        <w:fldChar w:fldCharType="separate"/>
      </w:r>
      <w:r>
        <w:t>6</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_Toc5680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_Toc5680 </w:instrText>
      </w:r>
      <w:r>
        <w:fldChar w:fldCharType="separate"/>
      </w:r>
      <w:r>
        <w:t>6</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_Toc6723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_Toc6723 </w:instrText>
      </w:r>
      <w:r>
        <w:fldChar w:fldCharType="separate"/>
      </w:r>
      <w:r>
        <w:t>6</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_Toc21796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_Toc21796 </w:instrText>
      </w:r>
      <w:r>
        <w:fldChar w:fldCharType="separate"/>
      </w:r>
      <w:r>
        <w:t>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_Toc19434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_Toc19434 </w:instrText>
      </w:r>
      <w:r>
        <w:fldChar w:fldCharType="separate"/>
      </w:r>
      <w:r>
        <w:t>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_Toc15177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_Toc15177 </w:instrText>
      </w:r>
      <w:r>
        <w:fldChar w:fldCharType="separate"/>
      </w:r>
      <w:r>
        <w:t>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_Toc21573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_Toc21573 </w:instrText>
      </w:r>
      <w:r>
        <w:fldChar w:fldCharType="separate"/>
      </w:r>
      <w:r>
        <w:t>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_Toc28024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_Toc28024 </w:instrText>
      </w:r>
      <w:r>
        <w:fldChar w:fldCharType="separate"/>
      </w:r>
      <w:r>
        <w:t>7</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_Toc26900 </w:instrText>
      </w:r>
      <w:r>
        <w:rPr>
          <w:rFonts w:hint="eastAsia"/>
          <w:lang w:val="en-US" w:eastAsia="zh-CN"/>
        </w:rPr>
        <w:fldChar w:fldCharType="separate"/>
      </w:r>
      <w:r>
        <w:rPr>
          <w:rFonts w:hint="eastAsia" w:ascii="黑体" w:hAnsi="黑体" w:eastAsia="黑体" w:cs="黑体"/>
          <w:szCs w:val="30"/>
          <w:lang w:val="en-US" w:eastAsia="zh-CN"/>
        </w:rPr>
        <w:t>3.2.1地图编辑器增加不同类型车位元素</w:t>
      </w:r>
      <w:r>
        <w:tab/>
      </w:r>
      <w:r>
        <w:fldChar w:fldCharType="begin"/>
      </w:r>
      <w:r>
        <w:instrText xml:space="preserve"> PAGEREF _Toc26900 </w:instrText>
      </w:r>
      <w:r>
        <w:fldChar w:fldCharType="separate"/>
      </w:r>
      <w:r>
        <w:t>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_Toc1427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r>
        <w:tab/>
      </w:r>
      <w:r>
        <w:fldChar w:fldCharType="begin"/>
      </w:r>
      <w:r>
        <w:instrText xml:space="preserve"> PAGEREF _Toc1427 </w:instrText>
      </w:r>
      <w:r>
        <w:fldChar w:fldCharType="separate"/>
      </w:r>
      <w:r>
        <w:t>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_Toc4942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r>
        <w:tab/>
      </w:r>
      <w:r>
        <w:fldChar w:fldCharType="begin"/>
      </w:r>
      <w:r>
        <w:instrText xml:space="preserve"> PAGEREF _Toc4942 </w:instrText>
      </w:r>
      <w:r>
        <w:fldChar w:fldCharType="separate"/>
      </w:r>
      <w:r>
        <w:t>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_Toc19686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r>
        <w:tab/>
      </w:r>
      <w:r>
        <w:fldChar w:fldCharType="begin"/>
      </w:r>
      <w:r>
        <w:instrText xml:space="preserve"> PAGEREF _Toc19686 </w:instrText>
      </w:r>
      <w:r>
        <w:fldChar w:fldCharType="separate"/>
      </w:r>
      <w:r>
        <w:t>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_Toc4729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r>
        <w:tab/>
      </w:r>
      <w:r>
        <w:fldChar w:fldCharType="begin"/>
      </w:r>
      <w:r>
        <w:instrText xml:space="preserve"> PAGEREF _Toc4729 </w:instrText>
      </w:r>
      <w:r>
        <w:fldChar w:fldCharType="separate"/>
      </w:r>
      <w:r>
        <w:t>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_Toc23198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r>
        <w:tab/>
      </w:r>
      <w:r>
        <w:fldChar w:fldCharType="begin"/>
      </w:r>
      <w:r>
        <w:instrText xml:space="preserve"> PAGEREF _Toc23198 </w:instrText>
      </w:r>
      <w:r>
        <w:fldChar w:fldCharType="separate"/>
      </w:r>
      <w:r>
        <w:t>9</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_Toc10180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_Toc10180 </w:instrText>
      </w:r>
      <w:r>
        <w:fldChar w:fldCharType="separate"/>
      </w:r>
      <w:r>
        <w:t>9</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_Toc16129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_Toc16129 </w:instrText>
      </w:r>
      <w:r>
        <w:fldChar w:fldCharType="separate"/>
      </w:r>
      <w:r>
        <w:t>10</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_Toc28394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_Toc28394 </w:instrText>
      </w:r>
      <w:r>
        <w:fldChar w:fldCharType="separate"/>
      </w:r>
      <w:r>
        <w:t>10</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_Toc26950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_Toc26950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_Toc23327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_Toc23327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_Toc9530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_Toc9530 </w:instrText>
      </w:r>
      <w:r>
        <w:fldChar w:fldCharType="separate"/>
      </w:r>
      <w:r>
        <w:t>10</w:t>
      </w:r>
      <w:r>
        <w:fldChar w:fldCharType="end"/>
      </w: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r>
        <w:rPr>
          <w:rFonts w:hint="eastAsia"/>
          <w:lang w:val="en-US" w:eastAsia="zh-CN"/>
        </w:rPr>
        <w:fldChar w:fldCharType="end"/>
      </w:r>
    </w:p>
    <w:p>
      <w:pPr>
        <w:pStyle w:val="2"/>
        <w:numPr>
          <w:ilvl w:val="0"/>
          <w:numId w:val="0"/>
        </w:numPr>
        <w:ind w:leftChars="0"/>
        <w:rPr>
          <w:rFonts w:hint="eastAsia" w:ascii="黑体" w:hAnsi="黑体" w:eastAsia="黑体" w:cs="黑体"/>
          <w:b/>
          <w:bCs/>
          <w:color w:val="auto"/>
          <w:sz w:val="36"/>
          <w:szCs w:val="36"/>
          <w:lang w:val="en-US" w:eastAsia="zh-CN"/>
        </w:rPr>
      </w:pPr>
      <w:bookmarkStart w:id="10" w:name="_Toc31466"/>
      <w:bookmarkStart w:id="11" w:name="_Toc28513"/>
      <w:bookmarkStart w:id="12" w:name="_Toc17589"/>
      <w:bookmarkStart w:id="13" w:name="_Toc26893"/>
      <w:bookmarkStart w:id="14" w:name="_Toc23227"/>
      <w:bookmarkStart w:id="15" w:name="_Toc1909"/>
      <w:r>
        <w:rPr>
          <w:rFonts w:hint="eastAsia" w:ascii="黑体" w:hAnsi="黑体" w:eastAsia="黑体" w:cs="黑体"/>
          <w:b/>
          <w:bCs/>
          <w:color w:val="auto"/>
          <w:sz w:val="36"/>
          <w:szCs w:val="36"/>
          <w:lang w:val="en-US" w:eastAsia="zh-CN"/>
        </w:rPr>
        <w:t>全局说明</w:t>
      </w:r>
      <w:bookmarkEnd w:id="10"/>
      <w:bookmarkEnd w:id="11"/>
      <w:bookmarkEnd w:id="12"/>
      <w:bookmarkEnd w:id="13"/>
      <w:bookmarkEnd w:id="14"/>
      <w:bookmarkEnd w:id="15"/>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6" w:name="_Toc32306"/>
            <w:bookmarkStart w:id="17" w:name="_Toc7778"/>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6"/>
      <w:bookmarkEnd w:id="17"/>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8" w:name="_Toc9753"/>
      <w:bookmarkStart w:id="19" w:name="_Toc2143"/>
      <w:bookmarkStart w:id="20" w:name="_Toc31429"/>
      <w:bookmarkStart w:id="21" w:name="_Toc14694"/>
      <w:bookmarkStart w:id="22" w:name="_Toc15886"/>
      <w:r>
        <w:rPr>
          <w:rFonts w:hint="eastAsia" w:ascii="黑体" w:hAnsi="黑体" w:eastAsia="黑体" w:cs="黑体"/>
          <w:lang w:val="en-US" w:eastAsia="zh-CN"/>
        </w:rPr>
        <w:t>1.目的</w:t>
      </w:r>
      <w:bookmarkEnd w:id="18"/>
      <w:bookmarkEnd w:id="19"/>
      <w:bookmarkEnd w:id="20"/>
      <w:bookmarkEnd w:id="21"/>
      <w:bookmarkEnd w:id="2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3" w:name="_Toc15109"/>
      <w:bookmarkStart w:id="24" w:name="_Toc25502"/>
      <w:bookmarkStart w:id="25" w:name="_Toc5568"/>
      <w:bookmarkStart w:id="26" w:name="_Toc19106"/>
      <w:bookmarkStart w:id="27" w:name="_Toc5680"/>
      <w:r>
        <w:rPr>
          <w:rFonts w:hint="eastAsia" w:ascii="黑体" w:hAnsi="黑体" w:eastAsia="黑体" w:cs="黑体"/>
          <w:lang w:val="en-US" w:eastAsia="zh-CN"/>
        </w:rPr>
        <w:t>1.1背景</w:t>
      </w:r>
      <w:bookmarkEnd w:id="23"/>
      <w:bookmarkEnd w:id="24"/>
      <w:bookmarkEnd w:id="25"/>
      <w:bookmarkEnd w:id="26"/>
      <w:bookmarkEnd w:id="27"/>
    </w:p>
    <w:p>
      <w:pPr>
        <w:rPr>
          <w:rFonts w:hint="eastAsia" w:ascii="黑体" w:hAnsi="黑体" w:eastAsia="黑体" w:cs="黑体"/>
          <w:lang w:val="en-US" w:eastAsia="zh-CN"/>
        </w:rPr>
      </w:pPr>
      <w:r>
        <w:rPr>
          <w:rFonts w:hint="eastAsia" w:ascii="黑体" w:hAnsi="黑体" w:eastAsia="黑体" w:cs="黑体"/>
          <w:lang w:val="en-US" w:eastAsia="zh-CN"/>
        </w:rPr>
        <w:t>MPGS系统模块和功能的迭代需求。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8" w:name="_Toc6723"/>
      <w:bookmarkStart w:id="29" w:name="_Toc29668"/>
      <w:bookmarkStart w:id="30" w:name="_Toc20322"/>
      <w:bookmarkStart w:id="31" w:name="_Toc10609"/>
      <w:bookmarkStart w:id="32" w:name="_Toc5256"/>
      <w:r>
        <w:rPr>
          <w:rFonts w:hint="eastAsia" w:ascii="黑体" w:hAnsi="黑体" w:eastAsia="黑体" w:cs="黑体"/>
          <w:szCs w:val="22"/>
          <w:lang w:val="en-US" w:eastAsia="zh-CN"/>
        </w:rPr>
        <w:t>1.2目的</w:t>
      </w:r>
      <w:bookmarkEnd w:id="28"/>
      <w:bookmarkEnd w:id="29"/>
      <w:bookmarkEnd w:id="30"/>
      <w:bookmarkEnd w:id="31"/>
      <w:bookmarkEnd w:id="32"/>
    </w:p>
    <w:p>
      <w:pPr>
        <w:rPr>
          <w:rFonts w:hint="eastAsia" w:ascii="黑体" w:hAnsi="黑体" w:eastAsia="黑体" w:cs="黑体"/>
          <w:lang w:val="en-US" w:eastAsia="zh-CN"/>
        </w:rPr>
      </w:pPr>
      <w:r>
        <w:rPr>
          <w:rFonts w:hint="eastAsia" w:ascii="黑体" w:hAnsi="黑体" w:eastAsia="黑体" w:cs="黑体"/>
          <w:lang w:val="en-US" w:eastAsia="zh-CN"/>
        </w:rPr>
        <w:t>进一步完善MPGS系统，减轻实施过程中的痛点。</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3" w:name="_Toc23979"/>
      <w:bookmarkStart w:id="34" w:name="_Toc24270"/>
      <w:bookmarkStart w:id="35" w:name="_Toc18131"/>
      <w:bookmarkStart w:id="36" w:name="_Toc10744"/>
      <w:bookmarkStart w:id="37" w:name="_Toc21796"/>
      <w:r>
        <w:rPr>
          <w:rFonts w:hint="eastAsia" w:ascii="黑体" w:hAnsi="黑体" w:eastAsia="黑体" w:cs="黑体"/>
          <w:szCs w:val="22"/>
          <w:lang w:val="en-US" w:eastAsia="zh-CN"/>
        </w:rPr>
        <w:t>1.3需求描述与约定</w:t>
      </w:r>
      <w:bookmarkEnd w:id="33"/>
      <w:bookmarkEnd w:id="34"/>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若引用了参考资料，应指明参考资料的简称与章节号或页码，以便复核与评审。</w:t>
      </w:r>
    </w:p>
    <w:p>
      <w:pPr>
        <w:pageBreakBefore w:val="0"/>
        <w:widowControl w:val="0"/>
        <w:numPr>
          <w:ilvl w:val="0"/>
          <w:numId w:val="0"/>
        </w:numPr>
        <w:kinsoku/>
        <w:wordWrap/>
        <w:overflowPunct/>
        <w:topLinePunct w:val="0"/>
        <w:autoSpaceDE/>
        <w:autoSpaceDN/>
        <w:bidi w:val="0"/>
        <w:adjustRightInd/>
        <w:snapToGrid/>
        <w:spacing w:line="360" w:lineRule="auto"/>
        <w:ind w:left="11" w:leftChars="0" w:right="0" w:rightChars="0"/>
        <w:textAlignment w:val="auto"/>
        <w:rPr>
          <w:rFonts w:ascii="Arial" w:hAnsi="Arial" w:cs="Arial"/>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8" w:name="_Toc10993"/>
      <w:bookmarkStart w:id="39" w:name="_Toc5709"/>
      <w:bookmarkStart w:id="40" w:name="_Toc19434"/>
      <w:bookmarkStart w:id="41" w:name="_Toc26045"/>
      <w:r>
        <w:rPr>
          <w:rFonts w:hint="eastAsia" w:ascii="黑体" w:hAnsi="黑体" w:eastAsia="黑体" w:cs="黑体"/>
          <w:szCs w:val="22"/>
          <w:lang w:val="en-US" w:eastAsia="zh-CN"/>
        </w:rPr>
        <w:t>2.关键业务流程</w:t>
      </w:r>
      <w:bookmarkEnd w:id="38"/>
      <w:bookmarkEnd w:id="39"/>
      <w:bookmarkEnd w:id="40"/>
      <w:bookmarkEnd w:id="41"/>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2" w:name="_Toc16460"/>
      <w:bookmarkStart w:id="43" w:name="_Toc13346"/>
      <w:bookmarkStart w:id="44" w:name="_Toc27684"/>
      <w:bookmarkStart w:id="45" w:name="_Toc2273"/>
      <w:bookmarkStart w:id="46" w:name="_Toc15177"/>
      <w:r>
        <w:rPr>
          <w:rFonts w:hint="eastAsia" w:ascii="黑体" w:hAnsi="黑体" w:eastAsia="黑体" w:cs="黑体"/>
          <w:szCs w:val="22"/>
          <w:lang w:val="en-US" w:eastAsia="zh-CN"/>
        </w:rPr>
        <w:t>3.具体需求内容</w:t>
      </w:r>
      <w:bookmarkEnd w:id="42"/>
      <w:bookmarkEnd w:id="43"/>
      <w:bookmarkEnd w:id="44"/>
      <w:bookmarkEnd w:id="45"/>
      <w:bookmarkEnd w:id="46"/>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7" w:name="_Toc2749"/>
      <w:bookmarkStart w:id="48" w:name="_Toc26890"/>
      <w:bookmarkStart w:id="49" w:name="_Toc12815"/>
      <w:bookmarkStart w:id="50" w:name="_Toc22302"/>
      <w:bookmarkStart w:id="51" w:name="_Toc21573"/>
      <w:r>
        <w:rPr>
          <w:rFonts w:hint="eastAsia" w:ascii="黑体" w:hAnsi="黑体" w:eastAsia="黑体" w:cs="黑体"/>
          <w:szCs w:val="22"/>
          <w:lang w:val="en-US" w:eastAsia="zh-CN"/>
        </w:rPr>
        <w:t>3.1总体功能点</w:t>
      </w:r>
      <w:bookmarkEnd w:id="47"/>
      <w:bookmarkEnd w:id="48"/>
      <w:bookmarkEnd w:id="49"/>
      <w:bookmarkEnd w:id="50"/>
      <w:bookmarkEnd w:id="51"/>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6180455" cy="1811655"/>
            <wp:effectExtent l="0" t="0" r="4445" b="4445"/>
            <wp:docPr id="8" name="图片 8" descr="MPGS V2.4.1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PGS V2.4.1功能点"/>
                    <pic:cNvPicPr>
                      <a:picLocks noChangeAspect="1"/>
                    </pic:cNvPicPr>
                  </pic:nvPicPr>
                  <pic:blipFill>
                    <a:blip r:embed="rId5"/>
                    <a:stretch>
                      <a:fillRect/>
                    </a:stretch>
                  </pic:blipFill>
                  <pic:spPr>
                    <a:xfrm>
                      <a:off x="0" y="0"/>
                      <a:ext cx="6180455" cy="1811655"/>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3212"/>
      <w:bookmarkStart w:id="53" w:name="_Toc28457"/>
      <w:bookmarkStart w:id="54" w:name="_Toc28024"/>
      <w:bookmarkStart w:id="55" w:name="_Toc8745"/>
      <w:r>
        <w:rPr>
          <w:rFonts w:hint="eastAsia" w:ascii="黑体" w:hAnsi="黑体" w:eastAsia="黑体" w:cs="黑体"/>
          <w:szCs w:val="22"/>
          <w:lang w:val="en-US" w:eastAsia="zh-CN"/>
        </w:rPr>
        <w:t>3.2功能点描述</w:t>
      </w:r>
      <w:bookmarkEnd w:id="52"/>
      <w:bookmarkEnd w:id="53"/>
      <w:bookmarkEnd w:id="54"/>
      <w:bookmarkEnd w:id="55"/>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6" w:name="_Toc516"/>
      <w:bookmarkStart w:id="57" w:name="_Toc26900"/>
      <w:bookmarkStart w:id="58" w:name="_Toc28219"/>
      <w:bookmarkStart w:id="59" w:name="_Toc4849"/>
      <w:r>
        <w:rPr>
          <w:rFonts w:hint="eastAsia" w:ascii="黑体" w:hAnsi="黑体" w:eastAsia="黑体" w:cs="黑体"/>
          <w:sz w:val="30"/>
          <w:szCs w:val="30"/>
          <w:lang w:val="en-US" w:eastAsia="zh-CN"/>
        </w:rPr>
        <w:t>3.2.1</w:t>
      </w:r>
      <w:bookmarkEnd w:id="56"/>
      <w:bookmarkEnd w:id="57"/>
      <w:bookmarkEnd w:id="58"/>
      <w:bookmarkEnd w:id="59"/>
      <w:r>
        <w:rPr>
          <w:rFonts w:hint="eastAsia" w:ascii="黑体" w:hAnsi="黑体" w:eastAsia="黑体" w:cs="黑体"/>
          <w:sz w:val="30"/>
          <w:szCs w:val="30"/>
          <w:lang w:val="en-US" w:eastAsia="zh-CN"/>
        </w:rPr>
        <w:t>立体车库的引导及反向寻车-MPGS后台</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0" w:name="_Toc7866"/>
      <w:bookmarkStart w:id="61" w:name="_Toc1427"/>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bookmarkEnd w:id="60"/>
      <w:bookmarkEnd w:id="61"/>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2" w:firstLineChars="200"/>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立体车库逻辑：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（1）每个立体车库存在5个车位5个红外和3个探头（底层），通过红外来确认车位状态，当5个车位全占满时三个灯均为红灯，当5个车位存在空闲车位时三个灯均为绿灯。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（2）三个探头可以当成一个整体，为同个控灯逻辑。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（3）将每个立体车库都当作一个“车库区域”来看，实现立体车库的反向寻车即可相当于实现车库区域的反向寻车，通过找到车辆所在的车库区域实现反向寻车。</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val="0"/>
          <w:bCs w:val="0"/>
          <w:sz w:val="24"/>
          <w:szCs w:val="24"/>
          <w:lang w:val="en-US" w:eastAsia="zh-CN"/>
        </w:rPr>
      </w:pPr>
      <w:bookmarkStart w:id="62" w:name="_Toc4942"/>
      <w:bookmarkStart w:id="63" w:name="_Toc25490"/>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bookmarkEnd w:id="62"/>
      <w:bookmarkEnd w:id="6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2" w:firstLineChars="20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业务说明：</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（1）MPGS后台需要接收红外和超声波数据；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（2）系统管理-地图配置中建立红外、超声波的系统和地图对应状态属性关系；</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896235"/>
            <wp:effectExtent l="0" t="0" r="9525" b="12065"/>
            <wp:docPr id="3" name="图片 3" descr="mpgs_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pgs__2"/>
                    <pic:cNvPicPr>
                      <a:picLocks noChangeAspect="1"/>
                    </pic:cNvPicPr>
                  </pic:nvPicPr>
                  <pic:blipFill>
                    <a:blip r:embed="rId6"/>
                    <a:stretch>
                      <a:fillRect/>
                    </a:stretch>
                  </pic:blipFill>
                  <pic:spPr>
                    <a:xfrm>
                      <a:off x="0" y="0"/>
                      <a:ext cx="6188075" cy="289623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（3）在车场管理-区域管理中新增立体车库为“车库区域”，将车库区域与其所有的车位建立关联（点击车库区域的“详情”可查看该区域所带的车位信息）；车库区域编号为QY-GARAGE。</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885440"/>
            <wp:effectExtent l="0" t="0" r="9525" b="10160"/>
            <wp:docPr id="2" name="图片 2" descr="mpgs_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pgs__1"/>
                    <pic:cNvPicPr>
                      <a:picLocks noChangeAspect="1"/>
                    </pic:cNvPicPr>
                  </pic:nvPicPr>
                  <pic:blipFill>
                    <a:blip r:embed="rId7"/>
                    <a:stretch>
                      <a:fillRect/>
                    </a:stretch>
                  </pic:blipFill>
                  <pic:spPr>
                    <a:xfrm>
                      <a:off x="0" y="0"/>
                      <a:ext cx="6188075" cy="288544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30868"/>
      <w:bookmarkStart w:id="65" w:name="_Toc19686"/>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bookmarkEnd w:id="64"/>
      <w:bookmarkEnd w:id="6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6" w:name="_Toc4729"/>
      <w:bookmarkStart w:id="67" w:name="_Toc27426"/>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8" w:name="_Toc10793"/>
      <w:bookmarkStart w:id="69" w:name="_Toc23198"/>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bookmarkEnd w:id="68"/>
      <w:bookmarkEnd w:id="69"/>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r>
        <w:rPr>
          <w:rFonts w:hint="eastAsia" w:ascii="黑体" w:hAnsi="黑体" w:eastAsia="黑体" w:cs="黑体"/>
          <w:sz w:val="30"/>
          <w:szCs w:val="30"/>
          <w:lang w:val="en-US" w:eastAsia="zh-CN"/>
        </w:rPr>
        <w:t>3.2.2立体车库的引导及反向寻车-地图编辑器</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.1功能说明</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2" w:firstLineChars="200"/>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立体车库逻辑：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（1）每个立体车库存在5个车位5个红外和3个探头（底层），通过红外来确认车位状态，当5个车位全占满时三个灯均为红灯，当5个车位存在空闲车位时三个灯均为绿灯。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（2）三个探头可以当成一个整体，为同个控灯逻辑。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（3）将每个立体车库都当作一个“车库区域”来看，实现立体车库的反向寻车即可相当于实现车库区域的反向寻车，通过找到车辆所在的车库区域实现反向寻车。</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val="0"/>
          <w:bCs w:val="0"/>
          <w:sz w:val="24"/>
          <w:szCs w:val="24"/>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2" w:firstLineChars="20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业务说明：</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（1）新增红外和超声波的设备图标，图标以UI设计稿为准；</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（2）绘制区域时区域类型的选择新增车库区域，用户在车库区域内创建的车位需与车库区域进行关联（从属关系）。</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21400" cy="2896235"/>
            <wp:effectExtent l="0" t="0" r="0" b="12065"/>
            <wp:docPr id="4" name="图片 4" descr="E:\工作夹\AKE\2017\-产品\原型导出图片\MPGS\V2.4.1\地图编辑器1.png地图编辑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工作夹\AKE\2017\-产品\原型导出图片\MPGS\V2.4.1\地图编辑器1.png地图编辑器1"/>
                    <pic:cNvPicPr>
                      <a:picLocks noChangeAspect="1"/>
                    </pic:cNvPicPr>
                  </pic:nvPicPr>
                  <pic:blipFill>
                    <a:blip r:embed="rId8"/>
                    <a:srcRect/>
                    <a:stretch>
                      <a:fillRect/>
                    </a:stretch>
                  </pic:blipFill>
                  <pic:spPr>
                    <a:xfrm>
                      <a:off x="0" y="0"/>
                      <a:ext cx="6121400" cy="289623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新增车位-添加关联元素时可添加车位与红外探测器的关联。</w:t>
      </w:r>
    </w:p>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927350"/>
            <wp:effectExtent l="0" t="0" r="9525" b="6350"/>
            <wp:docPr id="6" name="图片 6" descr="地图编辑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地图编辑器2"/>
                    <pic:cNvPicPr>
                      <a:picLocks noChangeAspect="1"/>
                    </pic:cNvPicPr>
                  </pic:nvPicPr>
                  <pic:blipFill>
                    <a:blip r:embed="rId9"/>
                    <a:stretch>
                      <a:fillRect/>
                    </a:stretch>
                  </pic:blipFill>
                  <pic:spPr>
                    <a:xfrm>
                      <a:off x="0" y="0"/>
                      <a:ext cx="6188075" cy="2927350"/>
                    </a:xfrm>
                    <a:prstGeom prst="rect">
                      <a:avLst/>
                    </a:prstGeom>
                  </pic:spPr>
                </pic:pic>
              </a:graphicData>
            </a:graphic>
          </wp:inline>
        </w:drawing>
      </w:r>
    </w:p>
    <w:p>
      <w:pPr>
        <w:pageBreakBefore w:val="0"/>
        <w:widowControl w:val="0"/>
        <w:numPr>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视频管理器绑定车位前，属于车库区域的车位必须检查车位是否已关联红外探测器，若已关联红外探测器可进行绑定操作，若无关联红外探测器，则提示用户车位未添加红外探测器，无法绑定，需关联红外探测器后再进行绑定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6188075" cy="2894965"/>
            <wp:effectExtent l="0" t="0" r="9525" b="635"/>
            <wp:docPr id="7" name="图片 7" descr="地图编辑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地图编辑器3"/>
                    <pic:cNvPicPr>
                      <a:picLocks noChangeAspect="1"/>
                    </pic:cNvPicPr>
                  </pic:nvPicPr>
                  <pic:blipFill>
                    <a:blip r:embed="rId10"/>
                    <a:stretch>
                      <a:fillRect/>
                    </a:stretch>
                  </pic:blipFill>
                  <pic:spPr>
                    <a:xfrm>
                      <a:off x="0" y="0"/>
                      <a:ext cx="6188075" cy="289496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r>
        <w:rPr>
          <w:rFonts w:hint="eastAsia" w:ascii="黑体" w:hAnsi="黑体" w:eastAsia="黑体" w:cs="黑体"/>
          <w:sz w:val="30"/>
          <w:szCs w:val="30"/>
          <w:lang w:val="en-US" w:eastAsia="zh-CN"/>
        </w:rPr>
        <w:t>3.2.3设备支持超声波和红外</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.1功能说明</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2" w:firstLineChars="200"/>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立体车库逻辑：</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（1）MPGS后台需要接收红外和超声波数据；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（2）地图编辑器新增红外和超声波图标（图标参见UI设计稿）。</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（3）系统管理-地图配置中建立红外、超声波的系统和地图对应状态属性关系</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val="0"/>
          <w:bCs w:val="0"/>
          <w:sz w:val="24"/>
          <w:szCs w:val="24"/>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1"/>
          <w:szCs w:val="21"/>
          <w:lang w:val="en-US" w:eastAsia="zh-CN"/>
        </w:rPr>
      </w:pPr>
      <w:r>
        <w:drawing>
          <wp:inline distT="0" distB="0" distL="114300" distR="114300">
            <wp:extent cx="3390900" cy="3473450"/>
            <wp:effectExtent l="0" t="0" r="0"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3390900" cy="3473450"/>
                    </a:xfrm>
                    <a:prstGeom prst="rect">
                      <a:avLst/>
                    </a:prstGeom>
                    <a:noFill/>
                    <a:ln w="9525">
                      <a:noFill/>
                    </a:ln>
                  </pic:spPr>
                </pic:pic>
              </a:graphicData>
            </a:graphic>
          </wp:inline>
        </w:drawing>
      </w:r>
      <w:bookmarkStart w:id="101" w:name="_GoBack"/>
      <w:bookmarkEnd w:id="10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0" w:name="_Toc5080"/>
      <w:bookmarkStart w:id="71" w:name="_Toc10180"/>
      <w:r>
        <w:rPr>
          <w:rFonts w:hint="eastAsia" w:ascii="黑体" w:hAnsi="黑体" w:eastAsia="黑体" w:cs="黑体"/>
          <w:szCs w:val="22"/>
          <w:lang w:val="en-US" w:eastAsia="zh-CN"/>
        </w:rPr>
        <w:t>4.非功能性需求</w:t>
      </w:r>
      <w:bookmarkEnd w:id="70"/>
      <w:bookmarkEnd w:id="71"/>
    </w:p>
    <w:tbl>
      <w:tblPr>
        <w:tblStyle w:val="12"/>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72" w:name="_Toc7429177"/>
            <w:bookmarkEnd w:id="72"/>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73" w:name="_Toc20296"/>
      <w:bookmarkEnd w:id="73"/>
      <w:bookmarkStart w:id="74" w:name="_Toc16300"/>
      <w:bookmarkEnd w:id="74"/>
      <w:bookmarkStart w:id="75" w:name="_Toc31005"/>
      <w:bookmarkEnd w:id="75"/>
      <w:bookmarkStart w:id="76"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7" w:name="_Toc10698"/>
      <w:bookmarkStart w:id="78" w:name="_Toc16129"/>
      <w:r>
        <w:rPr>
          <w:rFonts w:hint="eastAsia" w:ascii="黑体" w:hAnsi="黑体" w:eastAsia="黑体" w:cs="黑体"/>
          <w:szCs w:val="22"/>
          <w:lang w:val="en-US" w:eastAsia="zh-CN"/>
        </w:rPr>
        <w:t>5.外部接口说明</w:t>
      </w:r>
      <w:bookmarkEnd w:id="76"/>
      <w:bookmarkEnd w:id="77"/>
      <w:bookmarkEnd w:id="78"/>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9" w:name="_Toc9737"/>
      <w:bookmarkEnd w:id="79"/>
      <w:bookmarkStart w:id="80" w:name="_Toc2018"/>
      <w:bookmarkEnd w:id="80"/>
      <w:bookmarkStart w:id="81" w:name="_Toc4050"/>
      <w:bookmarkEnd w:id="81"/>
      <w:bookmarkStart w:id="82" w:name="_Toc28063"/>
      <w:bookmarkStart w:id="83" w:name="_Toc1804"/>
      <w:bookmarkStart w:id="84" w:name="_Toc28394"/>
      <w:r>
        <w:rPr>
          <w:rFonts w:hint="eastAsia" w:ascii="黑体" w:hAnsi="黑体" w:eastAsia="黑体" w:cs="黑体"/>
          <w:szCs w:val="22"/>
          <w:lang w:val="en-US" w:eastAsia="zh-CN"/>
        </w:rPr>
        <w:t>6.附件</w:t>
      </w:r>
      <w:bookmarkEnd w:id="82"/>
      <w:bookmarkEnd w:id="83"/>
      <w:bookmarkEnd w:id="8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85" w:name="_Toc12766"/>
      <w:bookmarkEnd w:id="85"/>
      <w:bookmarkStart w:id="86" w:name="_Toc7732"/>
      <w:bookmarkEnd w:id="86"/>
      <w:bookmarkStart w:id="87" w:name="_Toc8307"/>
      <w:bookmarkEnd w:id="87"/>
      <w:bookmarkStart w:id="88" w:name="_Toc21233"/>
      <w:bookmarkStart w:id="89" w:name="_Toc19341"/>
      <w:bookmarkStart w:id="90" w:name="_Toc26950"/>
      <w:r>
        <w:rPr>
          <w:rFonts w:hint="eastAsia" w:ascii="黑体" w:hAnsi="黑体" w:eastAsia="黑体" w:cs="黑体"/>
          <w:szCs w:val="22"/>
          <w:lang w:val="en-US" w:eastAsia="zh-CN"/>
        </w:rPr>
        <w:t>7.附录</w:t>
      </w:r>
      <w:bookmarkEnd w:id="88"/>
      <w:bookmarkEnd w:id="89"/>
      <w:bookmarkEnd w:id="90"/>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1" w:name="_Toc25562"/>
      <w:bookmarkEnd w:id="91"/>
      <w:bookmarkStart w:id="92" w:name="_Toc20160"/>
      <w:bookmarkEnd w:id="92"/>
      <w:bookmarkStart w:id="93" w:name="_Toc17965"/>
      <w:bookmarkStart w:id="94" w:name="_Toc10464"/>
      <w:bookmarkStart w:id="95" w:name="_Toc23327"/>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93"/>
      <w:bookmarkEnd w:id="94"/>
      <w:bookmarkEnd w:id="95"/>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6" w:name="_Toc1779"/>
      <w:bookmarkEnd w:id="96"/>
      <w:bookmarkStart w:id="97" w:name="_Toc32744"/>
      <w:bookmarkEnd w:id="97"/>
      <w:bookmarkStart w:id="98" w:name="_Toc9981"/>
      <w:bookmarkStart w:id="99" w:name="_Toc14509"/>
      <w:bookmarkStart w:id="100" w:name="_Toc9530"/>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8"/>
      <w:bookmarkEnd w:id="99"/>
      <w:bookmarkEnd w:id="100"/>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
      <w:pPr>
        <w:rPr>
          <w:rFonts w:hint="eastAsia" w:ascii="黑体" w:hAnsi="黑体" w:eastAsia="黑体" w:cs="黑体"/>
          <w:sz w:val="21"/>
          <w:szCs w:val="21"/>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2EBA"/>
    <w:multiLevelType w:val="singleLevel"/>
    <w:tmpl w:val="3D662EBA"/>
    <w:lvl w:ilvl="0" w:tentative="0">
      <w:start w:val="3"/>
      <w:numFmt w:val="decimal"/>
      <w:suff w:val="nothing"/>
      <w:lvlText w:val="（%1）"/>
      <w:lvlJc w:val="left"/>
    </w:lvl>
  </w:abstractNum>
  <w:abstractNum w:abstractNumId="1">
    <w:nsid w:val="55F9768D"/>
    <w:multiLevelType w:val="singleLevel"/>
    <w:tmpl w:val="55F9768D"/>
    <w:lvl w:ilvl="0" w:tentative="0">
      <w:start w:val="1"/>
      <w:numFmt w:val="decimal"/>
      <w:suff w:val="nothing"/>
      <w:lvlText w:val="%1、"/>
      <w:lvlJc w:val="left"/>
    </w:lvl>
  </w:abstractNum>
  <w:abstractNum w:abstractNumId="2">
    <w:nsid w:val="55F97F5F"/>
    <w:multiLevelType w:val="singleLevel"/>
    <w:tmpl w:val="55F97F5F"/>
    <w:lvl w:ilvl="0" w:tentative="0">
      <w:start w:val="1"/>
      <w:numFmt w:val="decimal"/>
      <w:suff w:val="nothing"/>
      <w:lvlText w:val="%1、"/>
      <w:lvlJc w:val="left"/>
    </w:lvl>
  </w:abstractNum>
  <w:abstractNum w:abstractNumId="3">
    <w:nsid w:val="55F998A4"/>
    <w:multiLevelType w:val="singleLevel"/>
    <w:tmpl w:val="55F998A4"/>
    <w:lvl w:ilvl="0" w:tentative="0">
      <w:start w:val="1"/>
      <w:numFmt w:val="decimal"/>
      <w:suff w:val="nothing"/>
      <w:lvlText w:val="%1、"/>
      <w:lvlJc w:val="left"/>
    </w:lvl>
  </w:abstractNum>
  <w:abstractNum w:abstractNumId="4">
    <w:nsid w:val="55F9993B"/>
    <w:multiLevelType w:val="singleLevel"/>
    <w:tmpl w:val="55F9993B"/>
    <w:lvl w:ilvl="0" w:tentative="0">
      <w:start w:val="1"/>
      <w:numFmt w:val="decimal"/>
      <w:suff w:val="nothing"/>
      <w:lvlText w:val="%1、"/>
      <w:lvlJc w:val="left"/>
    </w:lvl>
  </w:abstractNum>
  <w:abstractNum w:abstractNumId="5">
    <w:nsid w:val="55FCFACF"/>
    <w:multiLevelType w:val="singleLevel"/>
    <w:tmpl w:val="55FCFACF"/>
    <w:lvl w:ilvl="0" w:tentative="0">
      <w:start w:val="1"/>
      <w:numFmt w:val="decimal"/>
      <w:suff w:val="nothing"/>
      <w:lvlText w:val="%1、"/>
      <w:lvlJc w:val="left"/>
    </w:lvl>
  </w:abstractNum>
  <w:abstractNum w:abstractNumId="6">
    <w:nsid w:val="56AD97C3"/>
    <w:multiLevelType w:val="singleLevel"/>
    <w:tmpl w:val="56AD97C3"/>
    <w:lvl w:ilvl="0" w:tentative="0">
      <w:start w:val="1"/>
      <w:numFmt w:val="decimal"/>
      <w:suff w:val="nothing"/>
      <w:lvlText w:val="%1、"/>
      <w:lvlJc w:val="left"/>
    </w:lvl>
  </w:abstractNum>
  <w:abstractNum w:abstractNumId="7">
    <w:nsid w:val="56AD982D"/>
    <w:multiLevelType w:val="singleLevel"/>
    <w:tmpl w:val="56AD982D"/>
    <w:lvl w:ilvl="0" w:tentative="0">
      <w:start w:val="1"/>
      <w:numFmt w:val="decimal"/>
      <w:suff w:val="nothing"/>
      <w:lvlText w:val="%1、"/>
      <w:lvlJc w:val="left"/>
    </w:lvl>
  </w:abstractNum>
  <w:abstractNum w:abstractNumId="8">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59FF3EF2"/>
    <w:multiLevelType w:val="singleLevel"/>
    <w:tmpl w:val="59FF3EF2"/>
    <w:lvl w:ilvl="0" w:tentative="0">
      <w:start w:val="9"/>
      <w:numFmt w:val="decimal"/>
      <w:suff w:val="nothing"/>
      <w:lvlText w:val="%1、"/>
      <w:lvlJc w:val="left"/>
    </w:lvl>
  </w:abstractNum>
  <w:num w:numId="1">
    <w:abstractNumId w:val="8"/>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3A8C"/>
    <w:rsid w:val="18D50534"/>
    <w:rsid w:val="1EEB7B97"/>
    <w:rsid w:val="380E41C1"/>
    <w:rsid w:val="3BCC0C10"/>
    <w:rsid w:val="4A4C1845"/>
    <w:rsid w:val="5DFF1081"/>
    <w:rsid w:val="68951C23"/>
    <w:rsid w:val="6AF53A8C"/>
    <w:rsid w:val="6D535020"/>
    <w:rsid w:val="790A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n_\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2018-04-08T08:31:00Z</dcterms:created>
  <dc:creator>北北</dc:creator>
  <cp:lastModifiedBy>北北</cp:lastModifiedBy>
  <dcterms:modified xsi:type="dcterms:W3CDTF">2018-04-08T12:39:07Z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