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627"/>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5</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1290"/>
      <w:bookmarkStart w:id="5" w:name="_Toc11374"/>
      <w:bookmarkStart w:id="6" w:name="_Toc20292"/>
      <w:bookmarkStart w:id="7" w:name="_Toc29727"/>
      <w:bookmarkStart w:id="8" w:name="_Toc15308"/>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V2.15需求文档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3.2.5电子发票模块增加“VIP开通/续费”的收费项目类型。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增加停车场配置中对一体机开闸计数时间的设定；（参见3.2.15一体机开闸计数机制的优化）</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增加摄像机模块福瑞泰克枪的品牌和型号（参见3.2.20福瑞泰克枪集成）。</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4750"/>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_Toc2627 </w:instrText>
      </w:r>
      <w:r>
        <w:fldChar w:fldCharType="separate"/>
      </w:r>
      <w:r>
        <w:rPr>
          <w:rFonts w:hint="eastAsia" w:ascii="黑体" w:hAnsi="黑体" w:eastAsia="黑体" w:cs="黑体"/>
          <w:lang w:val="en-US" w:eastAsia="zh-CN"/>
        </w:rPr>
        <w:t>停车场管理系统V2.15</w:t>
      </w:r>
      <w:r>
        <w:tab/>
      </w:r>
      <w:r>
        <w:fldChar w:fldCharType="begin"/>
      </w:r>
      <w:r>
        <w:instrText xml:space="preserve"> PAGEREF _Toc2627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_Toc11374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_Toc11374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_Toc24750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_Toc24750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_Toc31641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_Toc31641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_Toc11268 </w:instrText>
      </w:r>
      <w:r>
        <w:fldChar w:fldCharType="separate"/>
      </w:r>
      <w:r>
        <w:rPr>
          <w:rFonts w:hint="eastAsia" w:ascii="黑体" w:hAnsi="黑体" w:eastAsia="黑体" w:cs="黑体"/>
          <w:lang w:val="en-US" w:eastAsia="zh-CN"/>
        </w:rPr>
        <w:t>1.目的</w:t>
      </w:r>
      <w:r>
        <w:tab/>
      </w:r>
      <w:r>
        <w:fldChar w:fldCharType="begin"/>
      </w:r>
      <w:r>
        <w:instrText xml:space="preserve"> PAGEREF _Toc11268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_Toc24242 </w:instrText>
      </w:r>
      <w:r>
        <w:fldChar w:fldCharType="separate"/>
      </w:r>
      <w:r>
        <w:rPr>
          <w:rFonts w:hint="eastAsia" w:ascii="黑体" w:hAnsi="黑体" w:eastAsia="黑体" w:cs="黑体"/>
          <w:lang w:val="en-US" w:eastAsia="zh-CN"/>
        </w:rPr>
        <w:t>1.1背景</w:t>
      </w:r>
      <w:r>
        <w:tab/>
      </w:r>
      <w:r>
        <w:fldChar w:fldCharType="begin"/>
      </w:r>
      <w:r>
        <w:instrText xml:space="preserve"> PAGEREF _Toc24242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_Toc25740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_Toc25740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_Toc31809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_Toc31809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_Toc28807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_Toc28807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_Toc31736 </w:instrText>
      </w:r>
      <w:r>
        <w:fldChar w:fldCharType="separate"/>
      </w:r>
      <w:r>
        <w:rPr>
          <w:rFonts w:hint="eastAsia" w:ascii="黑体" w:hAnsi="黑体" w:eastAsia="黑体" w:cs="黑体"/>
          <w:szCs w:val="22"/>
          <w:lang w:val="en-US" w:eastAsia="zh-CN"/>
        </w:rPr>
        <w:t>2.1月票授权车辆流程</w:t>
      </w:r>
      <w:r>
        <w:tab/>
      </w:r>
      <w:r>
        <w:fldChar w:fldCharType="begin"/>
      </w:r>
      <w:r>
        <w:instrText xml:space="preserve"> PAGEREF _Toc31736 </w:instrText>
      </w:r>
      <w:r>
        <w:fldChar w:fldCharType="separate"/>
      </w:r>
      <w:r>
        <w:t>10</w:t>
      </w:r>
      <w:r>
        <w:fldChar w:fldCharType="end"/>
      </w:r>
      <w:r>
        <w:fldChar w:fldCharType="end"/>
      </w:r>
    </w:p>
    <w:p>
      <w:pPr>
        <w:pStyle w:val="8"/>
        <w:tabs>
          <w:tab w:val="right" w:leader="dot" w:pos="9746"/>
        </w:tabs>
      </w:pPr>
      <w:r>
        <w:fldChar w:fldCharType="begin"/>
      </w:r>
      <w:r>
        <w:instrText xml:space="preserve"> HYPERLINK \l _Toc4488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_Toc4488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_Toc5919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_Toc5919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_Toc10676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_Toc10676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_Toc25946 </w:instrText>
      </w:r>
      <w:r>
        <w:fldChar w:fldCharType="separate"/>
      </w:r>
      <w:r>
        <w:rPr>
          <w:rFonts w:hint="eastAsia" w:ascii="黑体" w:hAnsi="黑体" w:eastAsia="黑体" w:cs="黑体"/>
          <w:szCs w:val="30"/>
          <w:lang w:val="en-US" w:eastAsia="zh-CN"/>
        </w:rPr>
        <w:t>3.2.1对账问题</w:t>
      </w:r>
      <w:r>
        <w:tab/>
      </w:r>
      <w:r>
        <w:fldChar w:fldCharType="begin"/>
      </w:r>
      <w:r>
        <w:instrText xml:space="preserve"> PAGEREF _Toc25946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_Toc32742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_Toc32742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_Toc4282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_Toc4282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_Toc8711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_Toc8711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_Toc13109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_Toc13109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_Toc16158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_Toc16158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_Toc28919 </w:instrText>
      </w:r>
      <w:r>
        <w:fldChar w:fldCharType="separate"/>
      </w:r>
      <w:r>
        <w:rPr>
          <w:rFonts w:hint="eastAsia" w:ascii="黑体" w:hAnsi="黑体" w:eastAsia="黑体" w:cs="黑体"/>
          <w:szCs w:val="30"/>
          <w:lang w:val="en-US" w:eastAsia="zh-CN"/>
        </w:rPr>
        <w:t>3.2.2支持一点停月票访客授权车辆进出</w:t>
      </w:r>
      <w:r>
        <w:tab/>
      </w:r>
      <w:r>
        <w:fldChar w:fldCharType="begin"/>
      </w:r>
      <w:r>
        <w:instrText xml:space="preserve"> PAGEREF _Toc28919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_Toc24290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_Toc24290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_Toc15917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_Toc15917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_Toc19156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_Toc19156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_Toc29754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_Toc29754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_Toc23848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_Toc23848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_Toc14705 </w:instrText>
      </w:r>
      <w:r>
        <w:fldChar w:fldCharType="separate"/>
      </w:r>
      <w:r>
        <w:rPr>
          <w:rFonts w:hint="eastAsia" w:ascii="黑体" w:hAnsi="黑体" w:eastAsia="黑体" w:cs="黑体"/>
          <w:szCs w:val="30"/>
          <w:lang w:val="en-US" w:eastAsia="zh-CN"/>
        </w:rPr>
        <w:t>3.2.3商家券可以发放至自助码</w:t>
      </w:r>
      <w:r>
        <w:tab/>
      </w:r>
      <w:r>
        <w:fldChar w:fldCharType="begin"/>
      </w:r>
      <w:r>
        <w:instrText xml:space="preserve"> PAGEREF _Toc14705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_Toc19466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_Toc19466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_Toc6094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_Toc6094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_Toc31751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_Toc31751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_Toc16960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_Toc16960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_Toc31381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_Toc17799 </w:instrText>
      </w:r>
      <w:r>
        <w:fldChar w:fldCharType="separate"/>
      </w:r>
      <w:r>
        <w:rPr>
          <w:rFonts w:hint="eastAsia" w:ascii="黑体" w:hAnsi="黑体" w:eastAsia="黑体" w:cs="黑体"/>
          <w:szCs w:val="30"/>
          <w:lang w:val="en-US" w:eastAsia="zh-CN"/>
        </w:rPr>
        <w:t>3.2.4 开通VIP票增加已开纸质票标识</w:t>
      </w:r>
      <w:r>
        <w:tab/>
      </w:r>
      <w:r>
        <w:fldChar w:fldCharType="begin"/>
      </w:r>
      <w:r>
        <w:instrText xml:space="preserve"> PAGEREF _Toc17799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_Toc2581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_Toc2581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_Toc2221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_Toc2221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_Toc13005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_Toc13005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_Toc25253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_Toc25253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_Toc10399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_Toc10399 </w:instrText>
      </w:r>
      <w:r>
        <w:fldChar w:fldCharType="separate"/>
      </w:r>
      <w:r>
        <w:t>19</w:t>
      </w:r>
      <w:r>
        <w:fldChar w:fldCharType="end"/>
      </w:r>
      <w:r>
        <w:fldChar w:fldCharType="end"/>
      </w:r>
    </w:p>
    <w:p>
      <w:pPr>
        <w:pStyle w:val="6"/>
        <w:tabs>
          <w:tab w:val="right" w:leader="dot" w:pos="9746"/>
        </w:tabs>
      </w:pPr>
      <w:r>
        <w:fldChar w:fldCharType="begin"/>
      </w:r>
      <w:r>
        <w:instrText xml:space="preserve"> HYPERLINK \l _Toc30111 </w:instrText>
      </w:r>
      <w:r>
        <w:fldChar w:fldCharType="separate"/>
      </w:r>
      <w:r>
        <w:rPr>
          <w:rFonts w:hint="eastAsia" w:ascii="黑体" w:hAnsi="黑体" w:eastAsia="黑体" w:cs="黑体"/>
          <w:szCs w:val="30"/>
          <w:lang w:val="en-US" w:eastAsia="zh-CN"/>
        </w:rPr>
        <w:t>3.2.5 VIP操作流水增加发票状态和开票标识</w:t>
      </w:r>
      <w:r>
        <w:tab/>
      </w:r>
      <w:r>
        <w:fldChar w:fldCharType="begin"/>
      </w:r>
      <w:r>
        <w:instrText xml:space="preserve"> PAGEREF _Toc30111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_Toc5001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_Toc5001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_Toc17916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_Toc17916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_Toc31037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_Toc31037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_Toc29211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_Toc29211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_Toc14411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_Toc14411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_Toc22866 </w:instrText>
      </w:r>
      <w:r>
        <w:fldChar w:fldCharType="separate"/>
      </w:r>
      <w:r>
        <w:rPr>
          <w:rFonts w:hint="eastAsia" w:ascii="黑体" w:hAnsi="黑体" w:eastAsia="黑体" w:cs="黑体"/>
          <w:szCs w:val="30"/>
          <w:lang w:val="en-US" w:eastAsia="zh-CN"/>
        </w:rPr>
        <w:t>3.2.6 收费流水增加开票标识</w:t>
      </w:r>
      <w:r>
        <w:tab/>
      </w:r>
      <w:r>
        <w:fldChar w:fldCharType="begin"/>
      </w:r>
      <w:r>
        <w:instrText xml:space="preserve"> PAGEREF _Toc22866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_Toc18858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_Toc18858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_Toc13254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_Toc13254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_Toc25527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_Toc25527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_Toc27145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_Toc27145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_Toc12755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_Toc12755 </w:instrText>
      </w:r>
      <w:r>
        <w:fldChar w:fldCharType="separate"/>
      </w:r>
      <w:r>
        <w:t>23</w:t>
      </w:r>
      <w:r>
        <w:fldChar w:fldCharType="end"/>
      </w:r>
      <w:r>
        <w:fldChar w:fldCharType="end"/>
      </w:r>
    </w:p>
    <w:p>
      <w:pPr>
        <w:pStyle w:val="6"/>
        <w:tabs>
          <w:tab w:val="right" w:leader="dot" w:pos="9746"/>
        </w:tabs>
      </w:pPr>
      <w:r>
        <w:fldChar w:fldCharType="begin"/>
      </w:r>
      <w:r>
        <w:instrText xml:space="preserve"> HYPERLINK \l _Toc12965 </w:instrText>
      </w:r>
      <w:r>
        <w:fldChar w:fldCharType="separate"/>
      </w:r>
      <w:r>
        <w:rPr>
          <w:rFonts w:hint="eastAsia" w:ascii="黑体" w:hAnsi="黑体" w:eastAsia="黑体" w:cs="黑体"/>
          <w:szCs w:val="30"/>
          <w:lang w:val="en-US" w:eastAsia="zh-CN"/>
        </w:rPr>
        <w:t>3.2.7 岗亭端增加已开纸质票标识</w:t>
      </w:r>
      <w:r>
        <w:tab/>
      </w:r>
      <w:r>
        <w:fldChar w:fldCharType="begin"/>
      </w:r>
      <w:r>
        <w:instrText xml:space="preserve"> PAGEREF _Toc12965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_Toc11850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_Toc11850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_Toc27902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_Toc27902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_Toc22574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_Toc22574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_Toc11304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_Toc11304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_Toc3400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_Toc3400 </w:instrText>
      </w:r>
      <w:r>
        <w:fldChar w:fldCharType="separate"/>
      </w:r>
      <w:r>
        <w:t>24</w:t>
      </w:r>
      <w:r>
        <w:fldChar w:fldCharType="end"/>
      </w:r>
      <w:r>
        <w:fldChar w:fldCharType="end"/>
      </w:r>
    </w:p>
    <w:p>
      <w:pPr>
        <w:pStyle w:val="6"/>
        <w:tabs>
          <w:tab w:val="right" w:leader="dot" w:pos="9746"/>
        </w:tabs>
      </w:pPr>
      <w:r>
        <w:fldChar w:fldCharType="begin"/>
      </w:r>
      <w:r>
        <w:instrText xml:space="preserve"> HYPERLINK \l _Toc14768 </w:instrText>
      </w:r>
      <w:r>
        <w:fldChar w:fldCharType="separate"/>
      </w:r>
      <w:r>
        <w:rPr>
          <w:rFonts w:hint="eastAsia" w:ascii="黑体" w:hAnsi="黑体" w:eastAsia="黑体" w:cs="黑体"/>
          <w:szCs w:val="30"/>
          <w:lang w:val="en-US" w:eastAsia="zh-CN"/>
        </w:rPr>
        <w:t>3.2.8 中央收费增加已开纸质票标识</w:t>
      </w:r>
      <w:r>
        <w:tab/>
      </w:r>
      <w:r>
        <w:fldChar w:fldCharType="begin"/>
      </w:r>
      <w:r>
        <w:instrText xml:space="preserve"> PAGEREF _Toc14768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_Toc20557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_Toc20557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_Toc22375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_Toc22375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_Toc17910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_Toc17910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_Toc165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_Toc18355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_Toc18355 </w:instrText>
      </w:r>
      <w:r>
        <w:fldChar w:fldCharType="separate"/>
      </w:r>
      <w:r>
        <w:t>26</w:t>
      </w:r>
      <w:r>
        <w:fldChar w:fldCharType="end"/>
      </w:r>
      <w:r>
        <w:fldChar w:fldCharType="end"/>
      </w:r>
    </w:p>
    <w:p>
      <w:pPr>
        <w:pStyle w:val="6"/>
        <w:tabs>
          <w:tab w:val="right" w:leader="dot" w:pos="9746"/>
        </w:tabs>
      </w:pPr>
      <w:r>
        <w:fldChar w:fldCharType="begin"/>
      </w:r>
      <w:r>
        <w:instrText xml:space="preserve"> HYPERLINK \l _Toc11947 </w:instrText>
      </w:r>
      <w:r>
        <w:fldChar w:fldCharType="separate"/>
      </w:r>
      <w:r>
        <w:rPr>
          <w:rFonts w:hint="eastAsia" w:ascii="黑体" w:hAnsi="黑体" w:eastAsia="黑体" w:cs="黑体"/>
          <w:szCs w:val="30"/>
          <w:lang w:val="en-US" w:eastAsia="zh-CN"/>
        </w:rPr>
        <w:t>3.2.9新增识别率报表模块</w:t>
      </w:r>
      <w:r>
        <w:tab/>
      </w:r>
      <w:r>
        <w:fldChar w:fldCharType="begin"/>
      </w:r>
      <w:r>
        <w:instrText xml:space="preserve"> PAGEREF _Toc11947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_Toc8458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r>
        <w:tab/>
      </w:r>
      <w:r>
        <w:fldChar w:fldCharType="begin"/>
      </w:r>
      <w:r>
        <w:instrText xml:space="preserve"> PAGEREF _Toc8458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_Toc265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r>
        <w:tab/>
      </w:r>
      <w:r>
        <w:fldChar w:fldCharType="begin"/>
      </w:r>
      <w:r>
        <w:instrText xml:space="preserve"> PAGEREF _Toc265 </w:instrText>
      </w:r>
      <w:r>
        <w:fldChar w:fldCharType="separate"/>
      </w:r>
      <w:r>
        <w:t>27</w:t>
      </w:r>
      <w:r>
        <w:fldChar w:fldCharType="end"/>
      </w:r>
      <w:r>
        <w:fldChar w:fldCharType="end"/>
      </w:r>
    </w:p>
    <w:p>
      <w:pPr>
        <w:pStyle w:val="9"/>
        <w:tabs>
          <w:tab w:val="right" w:leader="dot" w:pos="9746"/>
        </w:tabs>
      </w:pPr>
      <w:r>
        <w:fldChar w:fldCharType="begin"/>
      </w:r>
      <w:r>
        <w:instrText xml:space="preserve"> HYPERLINK \l _Toc29926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r>
        <w:tab/>
      </w:r>
      <w:r>
        <w:fldChar w:fldCharType="begin"/>
      </w:r>
      <w:r>
        <w:instrText xml:space="preserve"> PAGEREF _Toc29926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_Toc29232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_Toc29280 </w:instrText>
      </w:r>
      <w:r>
        <w:fldChar w:fldCharType="separate"/>
      </w:r>
      <w:r>
        <w:t>29</w:t>
      </w:r>
      <w:r>
        <w:fldChar w:fldCharType="end"/>
      </w:r>
      <w:r>
        <w:fldChar w:fldCharType="end"/>
      </w:r>
    </w:p>
    <w:p>
      <w:pPr>
        <w:pStyle w:val="6"/>
        <w:tabs>
          <w:tab w:val="right" w:leader="dot" w:pos="9746"/>
        </w:tabs>
      </w:pPr>
      <w:r>
        <w:fldChar w:fldCharType="begin"/>
      </w:r>
      <w:r>
        <w:instrText xml:space="preserve"> HYPERLINK \l _Toc16793 </w:instrText>
      </w:r>
      <w:r>
        <w:fldChar w:fldCharType="separate"/>
      </w:r>
      <w:r>
        <w:rPr>
          <w:rFonts w:hint="eastAsia" w:ascii="黑体" w:hAnsi="黑体" w:eastAsia="黑体" w:cs="黑体"/>
          <w:szCs w:val="30"/>
          <w:lang w:val="en-US" w:eastAsia="zh-CN"/>
        </w:rPr>
        <w:t>3.2.10 定期清理功能</w:t>
      </w:r>
      <w:r>
        <w:tab/>
      </w:r>
      <w:r>
        <w:fldChar w:fldCharType="begin"/>
      </w:r>
      <w:r>
        <w:instrText xml:space="preserve"> PAGEREF _Toc16793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_Toc31942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_Toc31942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_Toc18473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_Toc18473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_Toc18670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_Toc18670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_Toc20671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_Toc20671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_Toc16924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_Toc16924 </w:instrText>
      </w:r>
      <w:r>
        <w:fldChar w:fldCharType="separate"/>
      </w:r>
      <w:r>
        <w:t>31</w:t>
      </w:r>
      <w:r>
        <w:fldChar w:fldCharType="end"/>
      </w:r>
      <w:r>
        <w:fldChar w:fldCharType="end"/>
      </w:r>
    </w:p>
    <w:p>
      <w:pPr>
        <w:pStyle w:val="6"/>
        <w:tabs>
          <w:tab w:val="right" w:leader="dot" w:pos="9746"/>
        </w:tabs>
      </w:pPr>
      <w:r>
        <w:fldChar w:fldCharType="begin"/>
      </w:r>
      <w:r>
        <w:instrText xml:space="preserve"> HYPERLINK \l _Toc7685 </w:instrText>
      </w:r>
      <w:r>
        <w:fldChar w:fldCharType="separate"/>
      </w:r>
      <w:r>
        <w:rPr>
          <w:rFonts w:hint="eastAsia" w:ascii="黑体" w:hAnsi="黑体" w:eastAsia="黑体" w:cs="黑体"/>
          <w:szCs w:val="30"/>
          <w:lang w:val="en-US" w:eastAsia="zh-CN"/>
        </w:rPr>
        <w:t>3.2.11 导出优化功能</w:t>
      </w:r>
      <w:r>
        <w:tab/>
      </w:r>
      <w:r>
        <w:fldChar w:fldCharType="begin"/>
      </w:r>
      <w:r>
        <w:instrText xml:space="preserve"> PAGEREF _Toc7685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_Toc23290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_Toc23290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_Toc20478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_Toc20478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_Toc21366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_Toc21366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_Toc12017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_Toc12017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_Toc650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_Toc650 </w:instrText>
      </w:r>
      <w:r>
        <w:fldChar w:fldCharType="separate"/>
      </w:r>
      <w:r>
        <w:t>33</w:t>
      </w:r>
      <w:r>
        <w:fldChar w:fldCharType="end"/>
      </w:r>
      <w:r>
        <w:fldChar w:fldCharType="end"/>
      </w:r>
    </w:p>
    <w:p>
      <w:pPr>
        <w:pStyle w:val="6"/>
        <w:tabs>
          <w:tab w:val="right" w:leader="dot" w:pos="9746"/>
        </w:tabs>
      </w:pPr>
      <w:r>
        <w:fldChar w:fldCharType="begin"/>
      </w:r>
      <w:r>
        <w:instrText xml:space="preserve"> HYPERLINK \l _Toc20113 </w:instrText>
      </w:r>
      <w:r>
        <w:fldChar w:fldCharType="separate"/>
      </w:r>
      <w:r>
        <w:rPr>
          <w:rFonts w:hint="eastAsia" w:ascii="黑体" w:hAnsi="黑体" w:eastAsia="黑体" w:cs="黑体"/>
          <w:szCs w:val="30"/>
          <w:lang w:val="en-US" w:eastAsia="zh-CN"/>
        </w:rPr>
        <w:t>3.2.12 进出场记录增加自助进场随机码字段</w:t>
      </w:r>
      <w:r>
        <w:tab/>
      </w:r>
      <w:r>
        <w:fldChar w:fldCharType="begin"/>
      </w:r>
      <w:r>
        <w:instrText xml:space="preserve"> PAGEREF _Toc20113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_Toc27443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_Toc27443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_Toc21406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_Toc21406 </w:instrText>
      </w:r>
      <w:r>
        <w:fldChar w:fldCharType="separate"/>
      </w:r>
      <w:r>
        <w:t>34</w:t>
      </w:r>
      <w:r>
        <w:fldChar w:fldCharType="end"/>
      </w:r>
      <w:r>
        <w:fldChar w:fldCharType="end"/>
      </w:r>
    </w:p>
    <w:p>
      <w:pPr>
        <w:pStyle w:val="9"/>
        <w:tabs>
          <w:tab w:val="right" w:leader="dot" w:pos="9746"/>
        </w:tabs>
      </w:pPr>
      <w:r>
        <w:fldChar w:fldCharType="begin"/>
      </w:r>
      <w:r>
        <w:instrText xml:space="preserve"> HYPERLINK \l _Toc24093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_Toc24093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_Toc14159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_Toc14159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_Toc13786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_Toc13786 </w:instrText>
      </w:r>
      <w:r>
        <w:fldChar w:fldCharType="separate"/>
      </w:r>
      <w:r>
        <w:t>35</w:t>
      </w:r>
      <w:r>
        <w:fldChar w:fldCharType="end"/>
      </w:r>
      <w:r>
        <w:fldChar w:fldCharType="end"/>
      </w:r>
    </w:p>
    <w:p>
      <w:pPr>
        <w:pStyle w:val="6"/>
        <w:tabs>
          <w:tab w:val="right" w:leader="dot" w:pos="9746"/>
        </w:tabs>
      </w:pPr>
      <w:r>
        <w:fldChar w:fldCharType="begin"/>
      </w:r>
      <w:r>
        <w:instrText xml:space="preserve"> HYPERLINK \l _Toc32580 </w:instrText>
      </w:r>
      <w:r>
        <w:fldChar w:fldCharType="separate"/>
      </w:r>
      <w:r>
        <w:rPr>
          <w:rFonts w:hint="eastAsia" w:ascii="黑体" w:hAnsi="黑体" w:eastAsia="黑体" w:cs="黑体"/>
          <w:szCs w:val="30"/>
          <w:lang w:val="en-US" w:eastAsia="zh-CN"/>
        </w:rPr>
        <w:t>3.2.13 彩生活月卡接口功能</w:t>
      </w:r>
      <w:r>
        <w:tab/>
      </w:r>
      <w:r>
        <w:fldChar w:fldCharType="begin"/>
      </w:r>
      <w:r>
        <w:instrText xml:space="preserve"> PAGEREF _Toc32580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_Toc27032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_Toc27032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_Toc21970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_Toc21970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_Toc21168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_Toc21168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_Toc3559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_Toc3559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_Toc9091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_Toc9091 </w:instrText>
      </w:r>
      <w:r>
        <w:fldChar w:fldCharType="separate"/>
      </w:r>
      <w:r>
        <w:t>36</w:t>
      </w:r>
      <w:r>
        <w:fldChar w:fldCharType="end"/>
      </w:r>
      <w:r>
        <w:fldChar w:fldCharType="end"/>
      </w:r>
    </w:p>
    <w:p>
      <w:pPr>
        <w:pStyle w:val="6"/>
        <w:tabs>
          <w:tab w:val="right" w:leader="dot" w:pos="9746"/>
        </w:tabs>
      </w:pPr>
      <w:r>
        <w:fldChar w:fldCharType="begin"/>
      </w:r>
      <w:r>
        <w:instrText xml:space="preserve"> HYPERLINK \l _Toc14040 </w:instrText>
      </w:r>
      <w:r>
        <w:fldChar w:fldCharType="separate"/>
      </w:r>
      <w:r>
        <w:rPr>
          <w:rFonts w:hint="eastAsia" w:ascii="黑体" w:hAnsi="黑体" w:eastAsia="黑体" w:cs="黑体"/>
          <w:szCs w:val="30"/>
          <w:lang w:val="en-US" w:eastAsia="zh-CN"/>
        </w:rPr>
        <w:t>3.2.14 统计车辆整次停车收费明细</w:t>
      </w:r>
      <w:r>
        <w:tab/>
      </w:r>
      <w:r>
        <w:fldChar w:fldCharType="begin"/>
      </w:r>
      <w:r>
        <w:instrText xml:space="preserve"> PAGEREF _Toc14040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_Toc17033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_Toc17033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_Toc18393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_Toc18393 </w:instrText>
      </w:r>
      <w:r>
        <w:fldChar w:fldCharType="separate"/>
      </w:r>
      <w:r>
        <w:t>37</w:t>
      </w:r>
      <w:r>
        <w:fldChar w:fldCharType="end"/>
      </w:r>
      <w:r>
        <w:fldChar w:fldCharType="end"/>
      </w:r>
    </w:p>
    <w:p>
      <w:pPr>
        <w:pStyle w:val="9"/>
        <w:tabs>
          <w:tab w:val="right" w:leader="dot" w:pos="9746"/>
        </w:tabs>
      </w:pPr>
      <w:r>
        <w:fldChar w:fldCharType="begin"/>
      </w:r>
      <w:r>
        <w:instrText xml:space="preserve"> HYPERLINK \l _Toc4725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_Toc4725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_Toc26601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_Toc26601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_Toc14558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_Toc14558 </w:instrText>
      </w:r>
      <w:r>
        <w:fldChar w:fldCharType="separate"/>
      </w:r>
      <w:r>
        <w:t>38</w:t>
      </w:r>
      <w:r>
        <w:fldChar w:fldCharType="end"/>
      </w:r>
      <w:r>
        <w:fldChar w:fldCharType="end"/>
      </w:r>
    </w:p>
    <w:p>
      <w:pPr>
        <w:pStyle w:val="6"/>
        <w:tabs>
          <w:tab w:val="right" w:leader="dot" w:pos="9746"/>
        </w:tabs>
      </w:pPr>
      <w:r>
        <w:fldChar w:fldCharType="begin"/>
      </w:r>
      <w:r>
        <w:instrText xml:space="preserve"> HYPERLINK \l _Toc16000 </w:instrText>
      </w:r>
      <w:r>
        <w:fldChar w:fldCharType="separate"/>
      </w:r>
      <w:r>
        <w:rPr>
          <w:rFonts w:hint="eastAsia" w:ascii="黑体" w:hAnsi="黑体" w:eastAsia="黑体" w:cs="黑体"/>
          <w:szCs w:val="30"/>
          <w:lang w:val="en-US" w:eastAsia="zh-CN"/>
        </w:rPr>
        <w:t>3.2.15 一体机开闸计数机制优化</w:t>
      </w:r>
      <w:r>
        <w:tab/>
      </w:r>
      <w:r>
        <w:fldChar w:fldCharType="begin"/>
      </w:r>
      <w:r>
        <w:instrText xml:space="preserve"> PAGEREF _Toc16000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_Toc16077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_Toc16077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_Toc23099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_Toc23099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_Toc800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_Toc800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_Toc26201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_Toc26201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_Toc29859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_Toc29859 </w:instrText>
      </w:r>
      <w:r>
        <w:fldChar w:fldCharType="separate"/>
      </w:r>
      <w:r>
        <w:t>40</w:t>
      </w:r>
      <w:r>
        <w:fldChar w:fldCharType="end"/>
      </w:r>
      <w:r>
        <w:fldChar w:fldCharType="end"/>
      </w:r>
    </w:p>
    <w:p>
      <w:pPr>
        <w:pStyle w:val="6"/>
        <w:tabs>
          <w:tab w:val="right" w:leader="dot" w:pos="9746"/>
        </w:tabs>
      </w:pPr>
      <w:r>
        <w:fldChar w:fldCharType="begin"/>
      </w:r>
      <w:r>
        <w:instrText xml:space="preserve"> HYPERLINK \l _Toc27858 </w:instrText>
      </w:r>
      <w:r>
        <w:fldChar w:fldCharType="separate"/>
      </w:r>
      <w:r>
        <w:rPr>
          <w:rFonts w:hint="eastAsia" w:ascii="黑体" w:hAnsi="黑体" w:eastAsia="黑体" w:cs="黑体"/>
          <w:szCs w:val="30"/>
          <w:lang w:val="en-US" w:eastAsia="zh-CN"/>
        </w:rPr>
        <w:t>3.2.16 岗亭端增加高峰/常开模式的开关入口</w:t>
      </w:r>
      <w:r>
        <w:tab/>
      </w:r>
      <w:r>
        <w:fldChar w:fldCharType="begin"/>
      </w:r>
      <w:r>
        <w:instrText xml:space="preserve"> PAGEREF _Toc27858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_Toc31308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_Toc31308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_Toc4669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_Toc4669 </w:instrText>
      </w:r>
      <w:r>
        <w:fldChar w:fldCharType="separate"/>
      </w:r>
      <w:r>
        <w:t>41</w:t>
      </w:r>
      <w:r>
        <w:fldChar w:fldCharType="end"/>
      </w:r>
      <w:r>
        <w:fldChar w:fldCharType="end"/>
      </w:r>
    </w:p>
    <w:p>
      <w:pPr>
        <w:pStyle w:val="9"/>
        <w:tabs>
          <w:tab w:val="right" w:leader="dot" w:pos="9746"/>
        </w:tabs>
      </w:pPr>
      <w:r>
        <w:fldChar w:fldCharType="begin"/>
      </w:r>
      <w:r>
        <w:instrText xml:space="preserve"> HYPERLINK \l _Toc25087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_Toc25087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_Toc25067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_Toc25067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_Toc12992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_Toc12992 </w:instrText>
      </w:r>
      <w:r>
        <w:fldChar w:fldCharType="separate"/>
      </w:r>
      <w:r>
        <w:t>42</w:t>
      </w:r>
      <w:r>
        <w:fldChar w:fldCharType="end"/>
      </w:r>
      <w:r>
        <w:fldChar w:fldCharType="end"/>
      </w:r>
    </w:p>
    <w:p>
      <w:pPr>
        <w:pStyle w:val="6"/>
        <w:tabs>
          <w:tab w:val="right" w:leader="dot" w:pos="9746"/>
        </w:tabs>
      </w:pPr>
      <w:r>
        <w:fldChar w:fldCharType="begin"/>
      </w:r>
      <w:r>
        <w:instrText xml:space="preserve"> HYPERLINK \l _Toc13283 </w:instrText>
      </w:r>
      <w:r>
        <w:fldChar w:fldCharType="separate"/>
      </w:r>
      <w:r>
        <w:rPr>
          <w:rFonts w:hint="eastAsia" w:ascii="黑体" w:hAnsi="黑体" w:eastAsia="黑体" w:cs="黑体"/>
          <w:szCs w:val="30"/>
          <w:lang w:val="en-US" w:eastAsia="zh-CN"/>
        </w:rPr>
        <w:t>3.2.17 隐藏中央收费交接班的收费汇总信息</w:t>
      </w:r>
      <w:r>
        <w:tab/>
      </w:r>
      <w:r>
        <w:fldChar w:fldCharType="begin"/>
      </w:r>
      <w:r>
        <w:instrText xml:space="preserve"> PAGEREF _Toc13283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_Toc25928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_Toc25928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_Toc17307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_Toc17307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_Toc24141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_Toc24141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_Toc1447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_Toc1447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_Toc8191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_Toc8191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_Toc31668 </w:instrText>
      </w:r>
      <w:r>
        <w:fldChar w:fldCharType="separate"/>
      </w:r>
      <w:r>
        <w:rPr>
          <w:rFonts w:hint="eastAsia" w:ascii="黑体" w:hAnsi="黑体" w:eastAsia="黑体" w:cs="黑体"/>
          <w:szCs w:val="30"/>
          <w:lang w:val="en-US" w:eastAsia="zh-CN"/>
        </w:rPr>
        <w:t>3.2.18 临时车满位到剩余时，检测触发地感有无车辆再决定是否起杆</w:t>
      </w:r>
      <w:r>
        <w:tab/>
      </w:r>
      <w:r>
        <w:fldChar w:fldCharType="begin"/>
      </w:r>
      <w:r>
        <w:instrText xml:space="preserve"> PAGEREF _Toc31668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_Toc5261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_Toc5261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_Toc393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_Toc8621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_Toc8621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_Toc8936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_Toc8936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_Toc30070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_Toc30070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_Toc18809 </w:instrText>
      </w:r>
      <w:r>
        <w:fldChar w:fldCharType="separate"/>
      </w:r>
      <w:r>
        <w:rPr>
          <w:rFonts w:hint="eastAsia" w:ascii="黑体" w:hAnsi="黑体" w:eastAsia="黑体" w:cs="黑体"/>
          <w:szCs w:val="30"/>
          <w:lang w:val="en-US" w:eastAsia="zh-CN"/>
        </w:rPr>
        <w:t>3.2.19 MBC控制卡音量重启默认改为20</w:t>
      </w:r>
      <w:r>
        <w:tab/>
      </w:r>
      <w:r>
        <w:fldChar w:fldCharType="begin"/>
      </w:r>
      <w:r>
        <w:instrText xml:space="preserve"> PAGEREF _Toc18809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_Toc16153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r>
        <w:tab/>
      </w:r>
      <w:r>
        <w:fldChar w:fldCharType="begin"/>
      </w:r>
      <w:r>
        <w:instrText xml:space="preserve"> PAGEREF _Toc16153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_Toc19249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r>
        <w:tab/>
      </w:r>
      <w:r>
        <w:fldChar w:fldCharType="begin"/>
      </w:r>
      <w:r>
        <w:instrText xml:space="preserve"> PAGEREF _Toc19249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_Toc23088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r>
        <w:tab/>
      </w:r>
      <w:r>
        <w:fldChar w:fldCharType="begin"/>
      </w:r>
      <w:r>
        <w:instrText xml:space="preserve"> PAGEREF _Toc23088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_Toc25810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r>
        <w:tab/>
      </w:r>
      <w:r>
        <w:fldChar w:fldCharType="begin"/>
      </w:r>
      <w:r>
        <w:instrText xml:space="preserve"> PAGEREF _Toc25810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_Toc27071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r>
        <w:tab/>
      </w:r>
      <w:r>
        <w:fldChar w:fldCharType="begin"/>
      </w:r>
      <w:r>
        <w:instrText xml:space="preserve"> PAGEREF _Toc27071 </w:instrText>
      </w:r>
      <w:r>
        <w:fldChar w:fldCharType="separate"/>
      </w:r>
      <w:r>
        <w:t>45</w:t>
      </w:r>
      <w:r>
        <w:fldChar w:fldCharType="end"/>
      </w:r>
      <w:r>
        <w:fldChar w:fldCharType="end"/>
      </w:r>
    </w:p>
    <w:p>
      <w:pPr>
        <w:pStyle w:val="6"/>
        <w:tabs>
          <w:tab w:val="right" w:leader="dot" w:pos="9746"/>
        </w:tabs>
      </w:pPr>
      <w:r>
        <w:fldChar w:fldCharType="begin"/>
      </w:r>
      <w:r>
        <w:instrText xml:space="preserve"> HYPERLINK \l _Toc18800 </w:instrText>
      </w:r>
      <w:r>
        <w:fldChar w:fldCharType="separate"/>
      </w:r>
      <w:r>
        <w:rPr>
          <w:rFonts w:hint="eastAsia" w:ascii="黑体" w:hAnsi="黑体" w:eastAsia="黑体" w:cs="黑体"/>
          <w:szCs w:val="30"/>
          <w:lang w:val="en-US" w:eastAsia="zh-CN"/>
        </w:rPr>
        <w:t>3.2.20福瑞泰克枪集成</w:t>
      </w:r>
      <w:r>
        <w:tab/>
      </w:r>
      <w:r>
        <w:fldChar w:fldCharType="begin"/>
      </w:r>
      <w:r>
        <w:instrText xml:space="preserve"> PAGEREF _Toc18800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_Toc2084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r>
        <w:tab/>
      </w:r>
      <w:r>
        <w:fldChar w:fldCharType="begin"/>
      </w:r>
      <w:r>
        <w:instrText xml:space="preserve"> PAGEREF _Toc2084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_Toc30500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r>
        <w:tab/>
      </w:r>
      <w:r>
        <w:fldChar w:fldCharType="begin"/>
      </w:r>
      <w:r>
        <w:instrText xml:space="preserve"> PAGEREF _Toc30500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_Toc7038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r>
        <w:tab/>
      </w:r>
      <w:r>
        <w:fldChar w:fldCharType="begin"/>
      </w:r>
      <w:r>
        <w:instrText xml:space="preserve"> PAGEREF _Toc7038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_Toc16980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r>
        <w:tab/>
      </w:r>
      <w:r>
        <w:fldChar w:fldCharType="begin"/>
      </w:r>
      <w:r>
        <w:instrText xml:space="preserve"> PAGEREF _Toc16980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_Toc6742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r>
        <w:tab/>
      </w:r>
      <w:r>
        <w:fldChar w:fldCharType="begin"/>
      </w:r>
      <w:r>
        <w:instrText xml:space="preserve"> PAGEREF _Toc6742 </w:instrText>
      </w:r>
      <w:r>
        <w:fldChar w:fldCharType="separate"/>
      </w:r>
      <w:r>
        <w:t>46</w:t>
      </w:r>
      <w:r>
        <w:fldChar w:fldCharType="end"/>
      </w:r>
      <w:r>
        <w:fldChar w:fldCharType="end"/>
      </w:r>
    </w:p>
    <w:p>
      <w:pPr>
        <w:pStyle w:val="6"/>
        <w:tabs>
          <w:tab w:val="right" w:leader="dot" w:pos="9746"/>
        </w:tabs>
      </w:pPr>
      <w:r>
        <w:fldChar w:fldCharType="begin"/>
      </w:r>
      <w:r>
        <w:instrText xml:space="preserve"> HYPERLINK \l _Toc21558 </w:instrText>
      </w:r>
      <w:r>
        <w:fldChar w:fldCharType="separate"/>
      </w:r>
      <w:r>
        <w:rPr>
          <w:rFonts w:hint="eastAsia" w:ascii="黑体" w:hAnsi="黑体" w:eastAsia="黑体" w:cs="黑体"/>
          <w:szCs w:val="30"/>
          <w:lang w:val="en-US" w:eastAsia="zh-CN"/>
        </w:rPr>
        <w:t>3.2.21威捷网络电控板的对接</w:t>
      </w:r>
      <w:r>
        <w:tab/>
      </w:r>
      <w:r>
        <w:fldChar w:fldCharType="begin"/>
      </w:r>
      <w:r>
        <w:instrText xml:space="preserve"> PAGEREF _Toc21558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_Toc10897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r>
        <w:tab/>
      </w:r>
      <w:r>
        <w:fldChar w:fldCharType="begin"/>
      </w:r>
      <w:r>
        <w:instrText xml:space="preserve"> PAGEREF _Toc10897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_Toc32381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r>
        <w:tab/>
      </w:r>
      <w:r>
        <w:fldChar w:fldCharType="begin"/>
      </w:r>
      <w:r>
        <w:instrText xml:space="preserve"> PAGEREF _Toc32381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_Toc5364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r>
        <w:tab/>
      </w:r>
      <w:r>
        <w:fldChar w:fldCharType="begin"/>
      </w:r>
      <w:r>
        <w:instrText xml:space="preserve"> PAGEREF _Toc5364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_Toc5451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r>
        <w:tab/>
      </w:r>
      <w:r>
        <w:fldChar w:fldCharType="begin"/>
      </w:r>
      <w:r>
        <w:instrText xml:space="preserve"> PAGEREF _Toc5451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_Toc6592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r>
        <w:tab/>
      </w:r>
      <w:r>
        <w:fldChar w:fldCharType="begin"/>
      </w:r>
      <w:r>
        <w:instrText xml:space="preserve"> PAGEREF _Toc6592 </w:instrText>
      </w:r>
      <w:r>
        <w:fldChar w:fldCharType="separate"/>
      </w:r>
      <w:r>
        <w:t>47</w:t>
      </w:r>
      <w:r>
        <w:fldChar w:fldCharType="end"/>
      </w:r>
      <w:r>
        <w:fldChar w:fldCharType="end"/>
      </w:r>
    </w:p>
    <w:p>
      <w:pPr>
        <w:pStyle w:val="6"/>
        <w:tabs>
          <w:tab w:val="right" w:leader="dot" w:pos="9746"/>
        </w:tabs>
      </w:pPr>
      <w:r>
        <w:fldChar w:fldCharType="begin"/>
      </w:r>
      <w:r>
        <w:instrText xml:space="preserve"> HYPERLINK \l _Toc18913 </w:instrText>
      </w:r>
      <w:r>
        <w:fldChar w:fldCharType="separate"/>
      </w:r>
      <w:r>
        <w:rPr>
          <w:rFonts w:hint="eastAsia" w:ascii="黑体" w:hAnsi="黑体" w:eastAsia="黑体" w:cs="黑体"/>
          <w:szCs w:val="30"/>
          <w:lang w:val="en-US" w:eastAsia="zh-CN"/>
        </w:rPr>
        <w:t>3.2.22计费服务的优化</w:t>
      </w:r>
      <w:r>
        <w:tab/>
      </w:r>
      <w:r>
        <w:fldChar w:fldCharType="begin"/>
      </w:r>
      <w:r>
        <w:instrText xml:space="preserve"> PAGEREF _Toc18913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_Toc22319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r>
        <w:tab/>
      </w:r>
      <w:r>
        <w:fldChar w:fldCharType="begin"/>
      </w:r>
      <w:r>
        <w:instrText xml:space="preserve"> PAGEREF _Toc22319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_Toc5029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r>
        <w:tab/>
      </w:r>
      <w:r>
        <w:fldChar w:fldCharType="begin"/>
      </w:r>
      <w:r>
        <w:instrText xml:space="preserve"> PAGEREF _Toc5029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_Toc14551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r>
        <w:tab/>
      </w:r>
      <w:r>
        <w:fldChar w:fldCharType="begin"/>
      </w:r>
      <w:r>
        <w:instrText xml:space="preserve"> PAGEREF _Toc14551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_Toc25199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r>
        <w:tab/>
      </w:r>
      <w:r>
        <w:fldChar w:fldCharType="begin"/>
      </w:r>
      <w:r>
        <w:instrText xml:space="preserve"> PAGEREF _Toc25199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_Toc24393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r>
        <w:tab/>
      </w:r>
      <w:r>
        <w:fldChar w:fldCharType="begin"/>
      </w:r>
      <w:r>
        <w:instrText xml:space="preserve"> PAGEREF _Toc24393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_Toc27720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_Toc27720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_Toc10584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_Toc10584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_Toc14835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_Toc14835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_Toc5359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_Toc5359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_Toc28928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_Toc28928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_Toc7021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_Toc7021 </w:instrText>
      </w:r>
      <w:r>
        <w:fldChar w:fldCharType="separate"/>
      </w:r>
      <w:r>
        <w:t>49</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23227"/>
      <w:bookmarkStart w:id="13" w:name="_Toc17589"/>
      <w:bookmarkStart w:id="14" w:name="_Toc31641"/>
      <w:bookmarkStart w:id="15" w:name="_Toc26893"/>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7778"/>
            <w:bookmarkStart w:id="17"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2143"/>
      <w:bookmarkStart w:id="20" w:name="_Toc15886"/>
      <w:bookmarkStart w:id="21" w:name="_Toc11268"/>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19106"/>
      <w:bookmarkStart w:id="23" w:name="_Toc15109"/>
      <w:bookmarkStart w:id="24" w:name="_Toc24242"/>
      <w:bookmarkStart w:id="25" w:name="_Toc25502"/>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V2.15的迭代需求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9668"/>
      <w:bookmarkStart w:id="27" w:name="_Toc20322"/>
      <w:bookmarkStart w:id="28" w:name="_Toc10609"/>
      <w:bookmarkStart w:id="29" w:name="_Toc25740"/>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24270"/>
      <w:bookmarkStart w:id="31" w:name="_Toc10744"/>
      <w:bookmarkStart w:id="32" w:name="_Toc18131"/>
      <w:bookmarkStart w:id="33" w:name="_Toc31809"/>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1"/>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28807"/>
      <w:bookmarkStart w:id="35" w:name="_Toc5709"/>
      <w:bookmarkStart w:id="36" w:name="_Toc10993"/>
      <w:r>
        <w:rPr>
          <w:rFonts w:hint="eastAsia" w:ascii="黑体" w:hAnsi="黑体" w:eastAsia="黑体" w:cs="黑体"/>
          <w:szCs w:val="22"/>
          <w:lang w:val="en-US" w:eastAsia="zh-CN"/>
        </w:rPr>
        <w:t>关键业务流程</w:t>
      </w:r>
      <w:bookmarkEnd w:id="34"/>
      <w:bookmarkEnd w:id="35"/>
      <w:bookmarkEnd w:id="3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7" w:name="_Toc31736"/>
      <w:r>
        <w:rPr>
          <w:rFonts w:hint="eastAsia" w:ascii="黑体" w:hAnsi="黑体" w:eastAsia="黑体" w:cs="黑体"/>
          <w:szCs w:val="22"/>
          <w:lang w:val="en-US" w:eastAsia="zh-CN"/>
        </w:rPr>
        <w:t>2.1月票授权车辆流程</w:t>
      </w:r>
      <w:bookmarkEnd w:id="37"/>
    </w:p>
    <w:p>
      <w:pPr>
        <w:jc w:val="center"/>
        <w:rPr>
          <w:rFonts w:hint="eastAsia" w:ascii="Arial" w:hAnsi="Arial" w:eastAsia="宋体" w:cs="Arial"/>
          <w:lang w:val="en-US" w:eastAsia="zh-CN"/>
        </w:rPr>
      </w:pPr>
      <w:r>
        <w:rPr>
          <w:rFonts w:hint="eastAsia"/>
          <w:lang w:val="en-US" w:eastAsia="zh-CN"/>
        </w:rPr>
        <w:drawing>
          <wp:inline distT="0" distB="0" distL="114300" distR="114300">
            <wp:extent cx="2660650" cy="7500620"/>
            <wp:effectExtent l="0" t="0" r="6350" b="5080"/>
            <wp:docPr id="4" name="图片 4"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月票授权车辆流程图"/>
                    <pic:cNvPicPr>
                      <a:picLocks noChangeAspect="1"/>
                    </pic:cNvPicPr>
                  </pic:nvPicPr>
                  <pic:blipFill>
                    <a:blip r:embed="rId5"/>
                    <a:stretch>
                      <a:fillRect/>
                    </a:stretch>
                  </pic:blipFill>
                  <pic:spPr>
                    <a:xfrm>
                      <a:off x="0" y="0"/>
                      <a:ext cx="2660650" cy="7500620"/>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4488"/>
      <w:bookmarkStart w:id="39" w:name="_Toc16460"/>
      <w:bookmarkStart w:id="40" w:name="_Toc27684"/>
      <w:bookmarkStart w:id="41" w:name="_Toc13346"/>
      <w:r>
        <w:rPr>
          <w:rFonts w:hint="eastAsia" w:ascii="黑体" w:hAnsi="黑体" w:eastAsia="黑体" w:cs="黑体"/>
          <w:szCs w:val="22"/>
          <w:lang w:val="en-US" w:eastAsia="zh-CN"/>
        </w:rPr>
        <w:t>3.具体需求内容</w:t>
      </w:r>
      <w:bookmarkEnd w:id="38"/>
      <w:bookmarkEnd w:id="39"/>
      <w:bookmarkEnd w:id="40"/>
      <w:bookmarkEnd w:id="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2" w:name="_Toc12815"/>
      <w:bookmarkStart w:id="43" w:name="_Toc26890"/>
      <w:bookmarkStart w:id="44" w:name="_Toc2749"/>
      <w:bookmarkStart w:id="45" w:name="_Toc5919"/>
      <w:r>
        <w:rPr>
          <w:rFonts w:hint="eastAsia" w:ascii="黑体" w:hAnsi="黑体" w:eastAsia="黑体" w:cs="黑体"/>
          <w:szCs w:val="22"/>
          <w:lang w:val="en-US" w:eastAsia="zh-CN"/>
        </w:rPr>
        <w:t>3.1总体功能点</w:t>
      </w:r>
      <w:bookmarkEnd w:id="42"/>
      <w:bookmarkEnd w:id="43"/>
      <w:bookmarkEnd w:id="44"/>
      <w:bookmarkEnd w:id="45"/>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7440" cy="7261860"/>
            <wp:effectExtent l="0" t="0" r="10160" b="2540"/>
            <wp:docPr id="1" name="图片 1" descr="VEMS V2.15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EMS V2.15功能点"/>
                    <pic:cNvPicPr>
                      <a:picLocks noChangeAspect="1"/>
                    </pic:cNvPicPr>
                  </pic:nvPicPr>
                  <pic:blipFill>
                    <a:blip r:embed="rId6"/>
                    <a:stretch>
                      <a:fillRect/>
                    </a:stretch>
                  </pic:blipFill>
                  <pic:spPr>
                    <a:xfrm>
                      <a:off x="0" y="0"/>
                      <a:ext cx="6187440" cy="726186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10676"/>
      <w:bookmarkStart w:id="47" w:name="_Toc3212"/>
      <w:bookmarkStart w:id="48" w:name="_Toc28457"/>
      <w:r>
        <w:rPr>
          <w:rFonts w:hint="eastAsia" w:ascii="黑体" w:hAnsi="黑体" w:eastAsia="黑体" w:cs="黑体"/>
          <w:szCs w:val="22"/>
          <w:lang w:val="en-US" w:eastAsia="zh-CN"/>
        </w:rPr>
        <w:t>3.2功能点描述</w:t>
      </w:r>
      <w:bookmarkEnd w:id="46"/>
      <w:bookmarkEnd w:id="47"/>
      <w:bookmarkEnd w:id="48"/>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9" w:name="_Toc28219"/>
      <w:bookmarkStart w:id="50" w:name="_Toc516"/>
      <w:bookmarkStart w:id="51" w:name="_Toc25946"/>
      <w:r>
        <w:rPr>
          <w:rFonts w:hint="eastAsia" w:ascii="黑体" w:hAnsi="黑体" w:eastAsia="黑体" w:cs="黑体"/>
          <w:sz w:val="30"/>
          <w:szCs w:val="30"/>
          <w:lang w:val="en-US" w:eastAsia="zh-CN"/>
        </w:rPr>
        <w:t>3.2.1</w:t>
      </w:r>
      <w:bookmarkEnd w:id="49"/>
      <w:bookmarkEnd w:id="50"/>
      <w:r>
        <w:rPr>
          <w:rFonts w:hint="eastAsia" w:ascii="黑体" w:hAnsi="黑体" w:eastAsia="黑体" w:cs="黑体"/>
          <w:sz w:val="30"/>
          <w:szCs w:val="30"/>
          <w:lang w:val="en-US" w:eastAsia="zh-CN"/>
        </w:rPr>
        <w:t>对账问题</w:t>
      </w:r>
      <w:bookmarkEnd w:id="5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32742"/>
      <w:bookmarkStart w:id="53" w:name="_Toc15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2"/>
      <w:bookmarkEnd w:id="5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1、总实收一致，但VEMS上报的平台实收金额与搜索流水结果不一致，部分线下实收金额统计到线上；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2、VEMS未区分第三方平台实收金额；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3、线下上报给线上，如：第三方余额支付的，需要线上通过上报缴费账单接口返回支付流水号给停车场，否则线上线下的流水没有对应</w:t>
      </w:r>
      <w:r>
        <w:rPr>
          <w:rFonts w:hint="eastAsia" w:ascii="黑体" w:hAnsi="黑体" w:eastAsia="黑体" w:cs="黑体"/>
          <w:b/>
          <w:bCs/>
          <w:sz w:val="21"/>
          <w:szCs w:val="21"/>
          <w:lang w:val="en-US" w:eastAsia="zh-CN"/>
        </w:rPr>
        <w:t>唯一流水号</w:t>
      </w:r>
      <w:r>
        <w:rPr>
          <w:rFonts w:hint="eastAsia" w:ascii="黑体" w:hAnsi="黑体" w:eastAsia="黑体" w:cs="黑体"/>
          <w:b w:val="0"/>
          <w:bCs w:val="0"/>
          <w:sz w:val="21"/>
          <w:szCs w:val="21"/>
          <w:lang w:val="en-US" w:eastAsia="zh-CN"/>
        </w:rPr>
        <w:t>去比对。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4、线下统计报表中部分线上支付的统计到线下支付了，主要是自助缴费机-微信支付部分。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方案业务说明：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数据同步机制，同步不成功的记录可通过【重新生成】功能重新同步。线上的记录重新下发给线下，线下的记录重新上报给线上。VEMS向线上报已收到的同步数据，线上匹配同步情况，在流水中标记差异情况。技术实现的策略由海爷和汪健确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（2）添加停车场收费账单的支付来源备注和支付方式备注。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（3）VEMS按资金流向统计 包括总实收金额、线下总实收金额、第三方平台实收金额、平台实收金额上报给线上。自身不做界面。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drawing>
          <wp:inline distT="0" distB="0" distL="114300" distR="114300">
            <wp:extent cx="5702300" cy="21145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702300" cy="21145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4" w:name="_Toc4282"/>
      <w:bookmarkStart w:id="55" w:name="_Toc1888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4"/>
      <w:bookmarkEnd w:id="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181090" cy="2862580"/>
            <wp:effectExtent l="0" t="0" r="3810" b="7620"/>
            <wp:docPr id="14" name="图片 14" descr="停车场收费账单增加缴费来源方式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停车场收费账单增加缴费来源方式备注"/>
                    <pic:cNvPicPr>
                      <a:picLocks noChangeAspect="1"/>
                    </pic:cNvPicPr>
                  </pic:nvPicPr>
                  <pic:blipFill>
                    <a:blip r:embed="rId8"/>
                    <a:stretch>
                      <a:fillRect/>
                    </a:stretch>
                  </pic:blipFill>
                  <pic:spPr>
                    <a:xfrm>
                      <a:off x="0" y="0"/>
                      <a:ext cx="6181090"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（1）收费流水账单增加支付来源（备注）和支付方式（备注）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（2）支付来源备注和支付方式备注按照《缴费来源和缴费方式说明文档》进行规范。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object>
          <v:shape id="_x0000_i1025" o:spt="75" type="#_x0000_t75" style="height:65.5pt;width:72.5pt;" o:ole="t" filled="f" o:preferrelative="t" stroked="f" coordsize="21600,21600">
            <v:path/>
            <v:fill on="f" focussize="0,0"/>
            <v:stroke on="f"/>
            <v:imagedata r:id="rId10" o:title=""/>
            <o:lock v:ext="edit" aspectratio="t"/>
            <w10:wrap type="none"/>
            <w10:anchorlock/>
          </v:shape>
          <o:OLEObject Type="Embed" ProgID="Excel.Sheet.8" ShapeID="_x0000_i1025" DrawAspect="Icon" ObjectID="_1468075725" r:id="rId9">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6" w:name="_Toc17752"/>
      <w:bookmarkStart w:id="57" w:name="_Toc871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6"/>
      <w:bookmarkEnd w:id="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19670"/>
      <w:bookmarkStart w:id="59" w:name="_Toc1310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8"/>
      <w:bookmarkEnd w:id="5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6875"/>
      <w:bookmarkStart w:id="61" w:name="_Toc1615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0"/>
      <w:bookmarkEnd w:id="6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2" w:name="_Toc28919"/>
      <w:r>
        <w:rPr>
          <w:rFonts w:hint="eastAsia" w:ascii="黑体" w:hAnsi="黑体" w:eastAsia="黑体" w:cs="黑体"/>
          <w:sz w:val="30"/>
          <w:szCs w:val="30"/>
          <w:lang w:val="en-US" w:eastAsia="zh-CN"/>
        </w:rPr>
        <w:t>3.2.2支持一点停月票访客授权车辆进出</w:t>
      </w:r>
      <w:bookmarkEnd w:id="6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3" w:name="_Toc242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（1）支持一点停的月票授权功能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在一点停添加授权车辆，VEMS接收一点停传来的授权月票车牌号码，为该VIP的添加车牌号码，并对该车牌号码进行[授权]标记。删除授权后对车牌号码进行[删除授权（自动）]或[删除授权（手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“授权”：车主添加月票授权车辆，生成授权的VIP操作流水，备注为授权%P为VIP车辆（%P-车牌号码）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“删除授权(自动)”：一次有效的授权车辆出场后即删除该车牌，并生成删除授权的VIP操作流水，标记为[删除授权（自动）]，备注为删除%P的VIP授权。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“删除授权（手动）”：车主在一点停删除授权车牌的也将生成VIP操作流水，标记为[删除授权（手动）]。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（4）月票授权的VIP类型必须开启多位多车，否则不能使用月票授权。</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15917"/>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VIP开通/续费页面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1）接收一点停传来的月票授权车辆信息，对授权月票的车牌号码增加</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授权</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default" w:ascii="黑体" w:hAnsi="黑体" w:eastAsia="黑体" w:cs="黑体"/>
          <w:b w:val="0"/>
          <w:bCs w:val="0"/>
          <w:sz w:val="21"/>
          <w:szCs w:val="21"/>
          <w:lang w:val="en-US" w:eastAsia="zh-CN"/>
        </w:rPr>
        <w:t>（2）相当于为该VIP添加一个车牌号码。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071870" cy="2893695"/>
            <wp:effectExtent l="0" t="0" r="11430" b="1905"/>
            <wp:docPr id="19" name="图片 19" descr="E:\工作夹\AKE\2017\-产品\原型导出图片\VEMS\V2.15\支持一点停月票访客授权车辆进出11.png支持一点停月票访客授权车辆进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工作夹\AKE\2017\-产品\原型导出图片\VEMS\V2.15\支持一点停月票访客授权车辆进出11.png支持一点停月票访客授权车辆进出11"/>
                    <pic:cNvPicPr>
                      <a:picLocks noChangeAspect="1"/>
                    </pic:cNvPicPr>
                  </pic:nvPicPr>
                  <pic:blipFill>
                    <a:blip r:embed="rId11"/>
                    <a:srcRect/>
                    <a:stretch>
                      <a:fillRect/>
                    </a:stretch>
                  </pic:blipFill>
                  <pic:spPr>
                    <a:xfrm>
                      <a:off x="0" y="0"/>
                      <a:ext cx="6071870"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VIP操作流水页面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（2）车主添加授权车辆后即生成“授权”的VIP操作流水。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（3）一次有效的授权车辆出场后即删除该VIP车牌，生成“[删除授权(自动)]”的VIP操作流水，不限次数的车牌在车主删除授权后也将生成“[删除授权（手动）]”的VIP操作流水。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w:t>
      </w:r>
      <w:r>
        <w:rPr>
          <w:rFonts w:hint="eastAsia" w:ascii="黑体" w:hAnsi="黑体" w:eastAsia="黑体" w:cs="黑体"/>
          <w:b w:val="0"/>
          <w:bCs w:val="0"/>
          <w:kern w:val="2"/>
          <w:sz w:val="21"/>
          <w:szCs w:val="21"/>
          <w:lang w:val="en-US" w:eastAsia="zh-CN" w:bidi="ar-SA"/>
        </w:rPr>
        <w:t>授权的操作流水备注为：授权%P为VIP车辆；删除授权的操作流水备注为：删除%P的VIP授权。%P-车牌号码。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（5）操作员按一点停传来的字段进行显示。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828030" cy="2740025"/>
            <wp:effectExtent l="0" t="0" r="1270" b="3175"/>
            <wp:docPr id="21" name="图片 21" descr="E:\工作夹\AKE\2017\-产品\原型导出图片\VEMS\V2.15\支持一点停月票访客授权车辆进出22.png支持一点停月票访客授权车辆进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工作夹\AKE\2017\-产品\原型导出图片\VEMS\V2.15\支持一点停月票访客授权车辆进出22.png支持一点停月票访客授权车辆进出22"/>
                    <pic:cNvPicPr>
                      <a:picLocks noChangeAspect="1"/>
                    </pic:cNvPicPr>
                  </pic:nvPicPr>
                  <pic:blipFill>
                    <a:blip r:embed="rId12"/>
                    <a:srcRect/>
                    <a:stretch>
                      <a:fillRect/>
                    </a:stretch>
                  </pic:blipFill>
                  <pic:spPr>
                    <a:xfrm>
                      <a:off x="0" y="0"/>
                      <a:ext cx="5828030" cy="27400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车主信息页面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（1）对授权月票的车牌号码增加[授权]标记。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689600" cy="2638425"/>
            <wp:effectExtent l="0" t="0" r="0" b="3175"/>
            <wp:docPr id="22" name="图片 22" descr="支持一点停月票访客授权车辆进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支持一点停月票访客授权车辆进出3"/>
                    <pic:cNvPicPr>
                      <a:picLocks noChangeAspect="1"/>
                    </pic:cNvPicPr>
                  </pic:nvPicPr>
                  <pic:blipFill>
                    <a:blip r:embed="rId13"/>
                    <a:stretch>
                      <a:fillRect/>
                    </a:stretch>
                  </pic:blipFill>
                  <pic:spPr>
                    <a:xfrm>
                      <a:off x="0" y="0"/>
                      <a:ext cx="5689600" cy="26384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915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5"/>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524125" cy="7117715"/>
            <wp:effectExtent l="0" t="0" r="3175" b="6985"/>
            <wp:docPr id="23" name="图片 23"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月票授权车辆流程图"/>
                    <pic:cNvPicPr>
                      <a:picLocks noChangeAspect="1"/>
                    </pic:cNvPicPr>
                  </pic:nvPicPr>
                  <pic:blipFill>
                    <a:blip r:embed="rId5"/>
                    <a:stretch>
                      <a:fillRect/>
                    </a:stretch>
                  </pic:blipFill>
                  <pic:spPr>
                    <a:xfrm>
                      <a:off x="0" y="0"/>
                      <a:ext cx="2524125" cy="71177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975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384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8" w:name="_Toc14705"/>
      <w:r>
        <w:rPr>
          <w:rFonts w:hint="eastAsia" w:ascii="黑体" w:hAnsi="黑体" w:eastAsia="黑体" w:cs="黑体"/>
          <w:sz w:val="30"/>
          <w:szCs w:val="30"/>
          <w:lang w:val="en-US" w:eastAsia="zh-CN"/>
        </w:rPr>
        <w:t>3.2.3商家券可以发放至自助码</w:t>
      </w:r>
      <w:bookmarkEnd w:id="6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9" w:name="_Toc1946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同一停车场内的自助码为唯一的，可以将商家券发放至自助码，自助码车辆也可以使用商家券优惠。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609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317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1696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138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4" w:name="_Toc17799"/>
      <w:r>
        <w:rPr>
          <w:rFonts w:hint="eastAsia" w:ascii="黑体" w:hAnsi="黑体" w:eastAsia="黑体" w:cs="黑体"/>
          <w:sz w:val="30"/>
          <w:szCs w:val="30"/>
          <w:lang w:val="en-US" w:eastAsia="zh-CN"/>
        </w:rPr>
        <w:t>3.2.4 开通VIP票增加已开纸质票标识</w:t>
      </w:r>
      <w:bookmarkEnd w:id="7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5" w:name="_Toc258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5"/>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开通VIP弹窗增加一列“是否开具发票”，默认为不勾选状态。</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用户勾选“已开纸质票”后，对该VIP操作流水的发票状态标记为“已开纸质票”。</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2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360" cy="2849880"/>
            <wp:effectExtent l="0" t="0" r="2540" b="7620"/>
            <wp:docPr id="29" name="图片 29" descr="E:\工作夹\AKE\2017\-产品\原型导出图片\VEMS\V2.15\开通vip已开纸质票标识.png开通vip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VEMS\V2.15\开通vip已开纸质票标识.png开通vip已开纸质票标识"/>
                    <pic:cNvPicPr>
                      <a:picLocks noChangeAspect="1"/>
                    </pic:cNvPicPr>
                  </pic:nvPicPr>
                  <pic:blipFill>
                    <a:blip r:embed="rId14"/>
                    <a:srcRect/>
                    <a:stretch>
                      <a:fillRect/>
                    </a:stretch>
                  </pic:blipFill>
                  <pic:spPr>
                    <a:xfrm>
                      <a:off x="0" y="0"/>
                      <a:ext cx="6182360" cy="284988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300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525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03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0" w:name="_Toc30111"/>
      <w:r>
        <w:rPr>
          <w:rFonts w:hint="eastAsia" w:ascii="黑体" w:hAnsi="黑体" w:eastAsia="黑体" w:cs="黑体"/>
          <w:sz w:val="30"/>
          <w:szCs w:val="30"/>
          <w:lang w:val="en-US" w:eastAsia="zh-CN"/>
        </w:rPr>
        <w:t>3.2.5 VIP操作流水增加发票状态和开票标识</w:t>
      </w:r>
      <w:bookmarkEnd w:id="8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1" w:name="_Toc50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1"/>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VIP操作流水模块增加发票状态一列，展示VIP的开票状态。</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点击发票状态可查看详细的开票信息。</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对流水类型为“新开”或“续费”，且发票状态为“未开票”或“已开微二维码”的流水，在操作列增加“已开纸质票”的按钮，提供“已开纸质票”标识入口。</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点击“已开纸质票”的按钮，弹出确认弹窗，确认操作后对该条流水的发票状态进行“已开纸质票”的标记。</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同步生成发票开具流水，操作人记为执行操作的收费员姓名。收费项目记为“VIP开通/续费”。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791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4025900"/>
            <wp:effectExtent l="0" t="0" r="10160" b="0"/>
            <wp:docPr id="2" name="图片 2" descr="vip操作流水-增加发票状态及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ip操作流水-增加发票状态及开票标识入口"/>
                    <pic:cNvPicPr>
                      <a:picLocks noChangeAspect="1"/>
                    </pic:cNvPicPr>
                  </pic:nvPicPr>
                  <pic:blipFill>
                    <a:blip r:embed="rId15"/>
                    <a:stretch>
                      <a:fillRect/>
                    </a:stretch>
                  </pic:blipFill>
                  <pic:spPr>
                    <a:xfrm>
                      <a:off x="0" y="0"/>
                      <a:ext cx="6187440" cy="4025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3651885" cy="1997075"/>
            <wp:effectExtent l="0" t="0" r="571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651885" cy="199707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4575175"/>
            <wp:effectExtent l="0" t="0" r="9525" b="9525"/>
            <wp:docPr id="12" name="图片 12" descr="发票开具流水增加“vip开通_续费”的收费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发票开具流水增加“vip开通_续费”的收费项目"/>
                    <pic:cNvPicPr>
                      <a:picLocks noChangeAspect="1"/>
                    </pic:cNvPicPr>
                  </pic:nvPicPr>
                  <pic:blipFill>
                    <a:blip r:embed="rId17"/>
                    <a:stretch>
                      <a:fillRect/>
                    </a:stretch>
                  </pic:blipFill>
                  <pic:spPr>
                    <a:xfrm>
                      <a:off x="0" y="0"/>
                      <a:ext cx="6188075" cy="45751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点击“已开纸质票”，弹出确认已开纸质票的弹窗。</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发票开具流水页面，增加“VIP开通/续费”的收费项目类型。</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3103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92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44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6" w:name="_Toc22866"/>
      <w:r>
        <w:rPr>
          <w:rFonts w:hint="eastAsia" w:ascii="黑体" w:hAnsi="黑体" w:eastAsia="黑体" w:cs="黑体"/>
          <w:sz w:val="30"/>
          <w:szCs w:val="30"/>
          <w:lang w:val="en-US" w:eastAsia="zh-CN"/>
        </w:rPr>
        <w:t>3.2.6 收费流水增加开票标识</w:t>
      </w:r>
      <w:bookmarkEnd w:id="8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7" w:name="_Toc1885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（1）对发票状态为“未开票”或“已开微二维码”的流水，在操作列增加“已开纸质票”的按钮，提供“已开纸质票”标识入口。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（2）点击“已开纸质票”的按钮，弹出确认弹窗，确认操作后对该条流水的发票状态进行“已开纸质票”的标记。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（4）收费金额为零的不提供“已开纸质票”入口。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1325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300980" cy="3502660"/>
            <wp:effectExtent l="0" t="0" r="7620" b="2540"/>
            <wp:docPr id="3" name="图片 3" descr="收费流水-增加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收费流水-增加开票标识入口"/>
                    <pic:cNvPicPr>
                      <a:picLocks noChangeAspect="1"/>
                    </pic:cNvPicPr>
                  </pic:nvPicPr>
                  <pic:blipFill>
                    <a:blip r:embed="rId18"/>
                    <a:stretch>
                      <a:fillRect/>
                    </a:stretch>
                  </pic:blipFill>
                  <pic:spPr>
                    <a:xfrm>
                      <a:off x="0" y="0"/>
                      <a:ext cx="5300980" cy="35026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552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714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1275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2" w:name="_Toc12965"/>
      <w:r>
        <w:rPr>
          <w:rFonts w:hint="eastAsia" w:ascii="黑体" w:hAnsi="黑体" w:eastAsia="黑体" w:cs="黑体"/>
          <w:sz w:val="30"/>
          <w:szCs w:val="30"/>
          <w:lang w:val="en-US" w:eastAsia="zh-CN"/>
        </w:rPr>
        <w:t>3.2.7 岗亭端增加已开纸质票标识</w:t>
      </w:r>
      <w:bookmarkEnd w:id="9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3" w:name="_Toc118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3"/>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在岗亭端界面-出口付费面板内增加“已开纸质票”复选框。</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默认不勾选，勾选“已开纸质票”后，仅可与付费放行按钮配合使用。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收费金额为零的不提供“已开纸质票”入口。</w:t>
      </w:r>
      <w:bookmarkStart w:id="232" w:name="_GoBack"/>
      <w:bookmarkEnd w:id="232"/>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2790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0515"/>
            <wp:effectExtent l="0" t="0" r="8890" b="6985"/>
            <wp:docPr id="32" name="图片 32" descr="E:\工作夹\AKE\2017\-产品\原型导出图片\VEMS\V2.15\岗亭端已开纸质票标识.png岗亭端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工作夹\AKE\2017\-产品\原型导出图片\VEMS\V2.15\岗亭端已开纸质票标识.png岗亭端已开纸质票标识"/>
                    <pic:cNvPicPr>
                      <a:picLocks noChangeAspect="1"/>
                    </pic:cNvPicPr>
                  </pic:nvPicPr>
                  <pic:blipFill>
                    <a:blip r:embed="rId19"/>
                    <a:srcRect/>
                    <a:stretch>
                      <a:fillRect/>
                    </a:stretch>
                  </pic:blipFill>
                  <pic:spPr>
                    <a:xfrm>
                      <a:off x="0" y="0"/>
                      <a:ext cx="618871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257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130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340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8" w:name="_Toc14768"/>
      <w:r>
        <w:rPr>
          <w:rFonts w:hint="eastAsia" w:ascii="黑体" w:hAnsi="黑体" w:eastAsia="黑体" w:cs="黑体"/>
          <w:sz w:val="30"/>
          <w:szCs w:val="30"/>
          <w:lang w:val="en-US" w:eastAsia="zh-CN"/>
        </w:rPr>
        <w:t>3.2.8 中央收费增加已开纸质票标识</w:t>
      </w:r>
      <w:bookmarkEnd w:id="9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9" w:name="_Toc2055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99"/>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在中央监控界面-收费面板内增加“已开纸质票”复选框。</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2237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820" cy="2847975"/>
            <wp:effectExtent l="0" t="0" r="5080" b="9525"/>
            <wp:docPr id="33" name="图片 33" descr="E:\工作夹\AKE\2017\-产品\原型导出图片\VEMS\V2.15\中央收费已开纸质票标识.png中央收费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5\中央收费已开纸质票标识.png中央收费已开纸质票标识"/>
                    <pic:cNvPicPr>
                      <a:picLocks noChangeAspect="1"/>
                    </pic:cNvPicPr>
                  </pic:nvPicPr>
                  <pic:blipFill>
                    <a:blip r:embed="rId20"/>
                    <a:srcRect/>
                    <a:stretch>
                      <a:fillRect/>
                    </a:stretch>
                  </pic:blipFill>
                  <pic:spPr>
                    <a:xfrm>
                      <a:off x="0" y="0"/>
                      <a:ext cx="6179820"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791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6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835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4" w:name="_Toc27623"/>
      <w:bookmarkStart w:id="105" w:name="_Toc11947"/>
      <w:r>
        <w:rPr>
          <w:rFonts w:hint="eastAsia" w:ascii="黑体" w:hAnsi="黑体" w:eastAsia="黑体" w:cs="黑体"/>
          <w:sz w:val="30"/>
          <w:szCs w:val="30"/>
          <w:lang w:val="en-US" w:eastAsia="zh-CN"/>
        </w:rPr>
        <w:t>3.2.9新增识别率报表模块</w:t>
      </w:r>
      <w:bookmarkEnd w:id="104"/>
      <w:bookmarkEnd w:id="10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845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bookmarkEnd w:id="106"/>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4900" cy="2845435"/>
            <wp:effectExtent l="0" t="0" r="0" b="12065"/>
            <wp:docPr id="35" name="图片 35" descr="识别率报表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识别率报表改1"/>
                    <pic:cNvPicPr>
                      <a:picLocks noChangeAspect="1"/>
                    </pic:cNvPicPr>
                  </pic:nvPicPr>
                  <pic:blipFill>
                    <a:blip r:embed="rId21"/>
                    <a:stretch>
                      <a:fillRect/>
                    </a:stretch>
                  </pic:blipFill>
                  <pic:spPr>
                    <a:xfrm>
                      <a:off x="0" y="0"/>
                      <a:ext cx="6184900" cy="28454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725795" cy="3348990"/>
            <wp:effectExtent l="0" t="0" r="1905" b="3810"/>
            <wp:docPr id="5" name="图片 5" descr="识别率报表-进出场判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识别率报表-进出场判定"/>
                    <pic:cNvPicPr>
                      <a:picLocks noChangeAspect="1"/>
                    </pic:cNvPicPr>
                  </pic:nvPicPr>
                  <pic:blipFill>
                    <a:blip r:embed="rId22"/>
                    <a:stretch>
                      <a:fillRect/>
                    </a:stretch>
                  </pic:blipFill>
                  <pic:spPr>
                    <a:xfrm>
                      <a:off x="0" y="0"/>
                      <a:ext cx="5725795" cy="33489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1725" cy="5301615"/>
            <wp:effectExtent l="0" t="0" r="3175" b="6985"/>
            <wp:docPr id="36" name="图片 36" descr="识别率报表统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率报表统计逻辑"/>
                    <pic:cNvPicPr>
                      <a:picLocks noChangeAspect="1"/>
                    </pic:cNvPicPr>
                  </pic:nvPicPr>
                  <pic:blipFill>
                    <a:blip r:embed="rId23"/>
                    <a:stretch>
                      <a:fillRect/>
                    </a:stretch>
                  </pic:blipFill>
                  <pic:spPr>
                    <a:xfrm>
                      <a:off x="0" y="0"/>
                      <a:ext cx="6181725" cy="53016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（1）在报表管理中增加“识别率报表”模块；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（2）时间筛选框为标准时间搜索；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（3）合计栏中，数量则统计合计数量，正确率则计算加权平均数的正确率。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（4）进场：统计在场车辆、出场记录、异常进场、异常放行和非系统开闸等五个模块的数据；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出场：统计出场纪录、异常放行和非系统开闸等三个模块的数据。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6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bookmarkEnd w:id="107"/>
    </w:p>
    <w:tbl>
      <w:tblPr>
        <w:tblStyle w:val="14"/>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2110"/>
        <w:gridCol w:w="1115"/>
        <w:gridCol w:w="1206"/>
        <w:gridCol w:w="3772"/>
        <w:gridCol w:w="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31" w:hRule="atLeast"/>
        </w:trPr>
        <w:tc>
          <w:tcPr>
            <w:tcW w:w="1857"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2110"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界面元素</w:t>
            </w:r>
          </w:p>
        </w:tc>
        <w:tc>
          <w:tcPr>
            <w:tcW w:w="1115"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类型</w:t>
            </w:r>
          </w:p>
        </w:tc>
        <w:tc>
          <w:tcPr>
            <w:tcW w:w="1206"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数据来源</w:t>
            </w:r>
          </w:p>
        </w:tc>
        <w:tc>
          <w:tcPr>
            <w:tcW w:w="3772"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652" w:hRule="atLeast"/>
        </w:trPr>
        <w:tc>
          <w:tcPr>
            <w:tcW w:w="1857" w:type="dxa"/>
            <w:tcBorders>
              <w:top w:val="nil"/>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日期维度</w:t>
            </w:r>
          </w:p>
        </w:tc>
        <w:tc>
          <w:tcPr>
            <w:tcW w:w="1115"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top w:val="nil"/>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下拉框内容为日报、月报、年报和时段，展示不同日期维度的识别率报表。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显示所有停车场下拉列表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显示停车场内所有通道的下拉列表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提示“请选择时间”</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日报显示日期，YYYY/MM/DD格式；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月报显示月度，YYYY/MM格式；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年报显示年度，YYYY格式；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时段显示时间，YYYY/MM/DD AA:BB:CC格式，精确到秒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日期起止</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按照时间顺序倒序排列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显示通道名称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图片抓拍总数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该时间段内摄像枪抓拍图片总数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实际车辆进出总数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该通道生成进出场记录的车辆总数=识别正确数+识别错误数；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识别正确数=全牌正确数+无牌车数+遮挡车数+外因触发数+未识别未校正数；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识别错误数=全牌错误数+号牌错误数+汉字错误数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车辆全牌识别正确数量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=全牌正确数+汉字错误数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 xml:space="preserve">汉字错误数：仅识别错汉字的数量（粤A12345识别成赣A12345，为汉字错误，民航车牌识别错误也算作汉字错误，车牌尾数包含汉字如“学”/“试”等错误也判定为汉字错误。）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=全牌正确数+号牌错误数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号牌错误数：仅识别错号牌（包括数字和字母）的数量（粤A12345识别成粤A12346或粤B12345，为号牌错误）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=全牌正确数+无牌车数+遮挡车数+外因触发数+未识别未校正数；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8"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=识别正确数/实际车辆进出总数</w:t>
            </w: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992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bookmarkEnd w:id="10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92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9"/>
    </w:p>
    <w:tbl>
      <w:tblPr>
        <w:tblStyle w:val="14"/>
        <w:tblW w:w="10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3341"/>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3341"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3340"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搜索符合日期维度、停车场、通道和时间等条件的识别率报表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标准导出：从服务器中导出当前搜索结果列表的所有条目。</w:t>
            </w:r>
          </w:p>
        </w:tc>
      </w:tr>
    </w:tbl>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2928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0"/>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用例编号</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F-RFM-002（RFM：report forms management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管理用户查看识别率报表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查看不同日期维度、时间条件下的识别数量和识别率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通过系统管理-告警记录页面点击跳转进入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N01：展示识别率报表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O01：导出识别率报表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除起止日期、停车场名称和通道名称外，共10个列表字段，按照界面说明规则生成识别率报表数据；</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根据用户选择的日期维度/停车场/通道/时间切换展示不同条件下的识别率报表；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点击导出时，从服务器导出当前搜索结果下的所有条目，加载完成后点击“下载至本地”按钮可将报表文件（Excel格式）下载至本地。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每天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1" w:name="_Toc16793"/>
      <w:r>
        <w:rPr>
          <w:rFonts w:hint="eastAsia" w:ascii="黑体" w:hAnsi="黑体" w:eastAsia="黑体" w:cs="黑体"/>
          <w:sz w:val="30"/>
          <w:szCs w:val="30"/>
          <w:lang w:val="en-US" w:eastAsia="zh-CN"/>
        </w:rPr>
        <w:t>3.2.10 定期清理功能</w:t>
      </w:r>
      <w:bookmarkEnd w:id="11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2" w:name="_Toc31942"/>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（1）为非系统开闸、异常拍照、校正流水和辅枪抓拍流水等四个模块增加定期清理垃圾数据的功能。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（2）在数据及日志-清理垃圾数据模块增加清理非系统开闸数据、异常拍照数据、校正流水数据和辅枪抓拍流水数据等字段，在手动清理垃圾数据弹窗中也增加这几个字段。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847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5189220"/>
            <wp:effectExtent l="0" t="0" r="5715" b="5080"/>
            <wp:docPr id="39" name="图片 39" descr="定期清理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定期清理功能"/>
                    <pic:cNvPicPr>
                      <a:picLocks noChangeAspect="1"/>
                    </pic:cNvPicPr>
                  </pic:nvPicPr>
                  <pic:blipFill>
                    <a:blip r:embed="rId24"/>
                    <a:stretch>
                      <a:fillRect/>
                    </a:stretch>
                  </pic:blipFill>
                  <pic:spPr>
                    <a:xfrm>
                      <a:off x="0" y="0"/>
                      <a:ext cx="6179185" cy="518922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867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067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692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7" w:name="_Toc7685"/>
      <w:r>
        <w:rPr>
          <w:rFonts w:hint="eastAsia" w:ascii="黑体" w:hAnsi="黑体" w:eastAsia="黑体" w:cs="黑体"/>
          <w:sz w:val="30"/>
          <w:szCs w:val="30"/>
          <w:lang w:val="en-US" w:eastAsia="zh-CN"/>
        </w:rPr>
        <w:t>3.2.11 导出优化功能</w:t>
      </w:r>
      <w:bookmarkEnd w:id="11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8" w:name="_Toc2329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用户点击导出后，若遇到重启等问题中断了导出进程，导致导出进程卡住，不能再次进行导出操作。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（1）当已存在正在导出任务，用户重新点击导出时提示“存在正在导出的任务，是否重新导出”，用户确定选择后则删除挂起的任务，重新生成导出任务。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（2）此导出优化适用于管理端所有导出功能。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2047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995" cy="2868295"/>
            <wp:effectExtent l="0" t="0" r="1905" b="1905"/>
            <wp:docPr id="40" name="图片 40" descr="导出优化-重启后清除挂起的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导出优化-重启后清除挂起的任务"/>
                    <pic:cNvPicPr>
                      <a:picLocks noChangeAspect="1"/>
                    </pic:cNvPicPr>
                  </pic:nvPicPr>
                  <pic:blipFill>
                    <a:blip r:embed="rId25"/>
                    <a:stretch>
                      <a:fillRect/>
                    </a:stretch>
                  </pic:blipFill>
                  <pic:spPr>
                    <a:xfrm>
                      <a:off x="0" y="0"/>
                      <a:ext cx="6182995" cy="28682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2136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1201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65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3" w:name="_Toc20113"/>
      <w:r>
        <w:rPr>
          <w:rFonts w:hint="eastAsia" w:ascii="黑体" w:hAnsi="黑体" w:eastAsia="黑体" w:cs="黑体"/>
          <w:sz w:val="30"/>
          <w:szCs w:val="30"/>
          <w:lang w:val="en-US" w:eastAsia="zh-CN"/>
        </w:rPr>
        <w:t>3.2.12 进出场记录增加自助进场随机码字段</w:t>
      </w:r>
      <w:bookmarkEnd w:id="12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24" w:name="_Toc2744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2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（1）在车辆的进出场记录（在场车辆、出场记录和异常放行三个模块）增加自助进场随机码字段。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（2）在场车辆模块：将原来的“车牌/卡票号”的筛选框修改为包含了“车牌/卡票号”和“随机码”两个选项的下拉框，默认显示“车牌/卡票号”。支持模糊搜索。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（3）将原来列表中的“车牌号”字段修改为“车牌号/随机码”，根据用户选择的筛选条件显示相应的内容。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（4）出场记录模块：增加“进场车牌号（随机码）”一列，展示进场车牌号（随机码）。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（5）异常放行模块：将原有的“进场车牌号”字段修改为“进场车牌号（随机码）”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140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5913120" cy="2843530"/>
            <wp:effectExtent l="0" t="0" r="5080" b="1270"/>
            <wp:docPr id="6" name="图片 2" descr="E:\工作夹\AKE\2017\-产品\原型导出图片\VEMS\V2.15\进出场记录增加自助进场随机码字段1.png进出场记录增加自助进场随机码字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E:\工作夹\AKE\2017\-产品\原型导出图片\VEMS\V2.15\进出场记录增加自助进场随机码字段1.png进出场记录增加自助进场随机码字段1"/>
                    <pic:cNvPicPr>
                      <a:picLocks noChangeAspect="1"/>
                    </pic:cNvPicPr>
                  </pic:nvPicPr>
                  <pic:blipFill>
                    <a:blip r:embed="rId26"/>
                    <a:srcRect/>
                    <a:stretch>
                      <a:fillRect/>
                    </a:stretch>
                  </pic:blipFill>
                  <pic:spPr>
                    <a:xfrm>
                      <a:off x="0" y="0"/>
                      <a:ext cx="5913120" cy="284353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将原来的车牌/卡票号筛选条件改为下拉框，包括车牌/卡票号和随机码两个选项。默认显示车牌/卡票号。如用户选择“随机码”时，默认搜索符合指定随机码条件的在场车辆。</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将原来列表“车牌号”字段修改为“车牌号/随机码”，根据用户选择的筛选条件显示相应的内容。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8" name="图片 8" descr="进出场记录增加自助进场随机码字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进出场记录增加自助进场随机码字段2"/>
                    <pic:cNvPicPr>
                      <a:picLocks noChangeAspect="1"/>
                    </pic:cNvPicPr>
                  </pic:nvPicPr>
                  <pic:blipFill>
                    <a:blip r:embed="rId27"/>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（1）在出场记录-进场凭证和进场车牌图片之间增加“进场车牌号（随机码）”一列，展示进场车牌号和随机码。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7" name="图片 7" descr="进出场记录增加自助进场随机码字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进出场记录增加自助进场随机码字段3"/>
                    <pic:cNvPicPr>
                      <a:picLocks noChangeAspect="1"/>
                    </pic:cNvPicPr>
                  </pic:nvPicPr>
                  <pic:blipFill>
                    <a:blip r:embed="rId28"/>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（1）将原来列表“进场车牌号”字段修改为“车牌号/随机码”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409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2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415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378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2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9" w:name="_Toc32580"/>
      <w:r>
        <w:rPr>
          <w:rFonts w:hint="eastAsia" w:ascii="黑体" w:hAnsi="黑体" w:eastAsia="黑体" w:cs="黑体"/>
          <w:sz w:val="30"/>
          <w:szCs w:val="30"/>
          <w:lang w:val="en-US" w:eastAsia="zh-CN"/>
        </w:rPr>
        <w:t>3.2.13 彩生活月卡接口功能</w:t>
      </w:r>
      <w:bookmarkEnd w:id="12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0" w:name="_Toc2703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彩生活月卡接口，删除月卡时如果有指定rule,只删除指定rule月卡。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2197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21168"/>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3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355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3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909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3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35" w:name="_Toc14040"/>
      <w:r>
        <w:rPr>
          <w:rFonts w:hint="eastAsia" w:ascii="黑体" w:hAnsi="黑体" w:eastAsia="黑体" w:cs="黑体"/>
          <w:sz w:val="30"/>
          <w:szCs w:val="30"/>
          <w:lang w:val="en-US" w:eastAsia="zh-CN"/>
        </w:rPr>
        <w:t>3.2.14 统计车辆整次停车收费明细</w:t>
      </w:r>
      <w:bookmarkEnd w:id="13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6" w:name="_Toc17033"/>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36"/>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在岗亭端和中央收费页面增加显示“车辆整次停车收费明细”。</w:t>
      </w:r>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在岗亭端出口收费面板-应付金额和中央收费缴费面板-应交费用的金额后面增加？号按钮，点击按钮弹出详细的收费明细弹窗。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7" w:name="_Toc1839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3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4740" cy="3916045"/>
            <wp:effectExtent l="0" t="0" r="10160" b="8255"/>
            <wp:docPr id="9" name="图片 9" descr="统计车辆整次停车收费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统计车辆整次停车收费明细"/>
                    <pic:cNvPicPr>
                      <a:picLocks noChangeAspect="1"/>
                    </pic:cNvPicPr>
                  </pic:nvPicPr>
                  <pic:blipFill>
                    <a:blip r:embed="rId29"/>
                    <a:stretch>
                      <a:fillRect/>
                    </a:stretch>
                  </pic:blipFill>
                  <pic:spPr>
                    <a:xfrm>
                      <a:off x="0" y="0"/>
                      <a:ext cx="6174740" cy="39160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2990215" cy="3950335"/>
            <wp:effectExtent l="0" t="0" r="6985" b="12065"/>
            <wp:docPr id="10" name="图片 10" descr="统计车辆整次停车收费明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统计车辆整次停车收费明细2"/>
                    <pic:cNvPicPr>
                      <a:picLocks noChangeAspect="1"/>
                    </pic:cNvPicPr>
                  </pic:nvPicPr>
                  <pic:blipFill>
                    <a:blip r:embed="rId30"/>
                    <a:stretch>
                      <a:fillRect/>
                    </a:stretch>
                  </pic:blipFill>
                  <pic:spPr>
                    <a:xfrm>
                      <a:off x="0" y="0"/>
                      <a:ext cx="2990215" cy="3950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（1）以计费单位为时间统计单位，显示进场后每个统计时间段及收费金额。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（2）多个时间段情况下，仅显示前三段时间段、末段时间段和整次停车时间段计费金额合计的统计情况。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（3）中间的统计时间段默认收起，点击“更多”可展开获取每个时间段的计费明细。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（4）统计时间段超过24小时的，以自然日为统计节点汇总一次。节假日应在时间段后面进行标记显示。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（5）超过24小时的默认显示自然日汇总金额，点击“+”可查看该日的收费详情。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（6）不超过24小时的，展示按计费单位为统计单位的收费明细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（7）导出功能：点击导出可导出收费明细文件，文件格式默认为.xls，导出文件以车牌号码为文件名。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472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26601"/>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3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14558"/>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1" w:name="_Toc16000"/>
      <w:r>
        <w:rPr>
          <w:rFonts w:hint="eastAsia" w:ascii="黑体" w:hAnsi="黑体" w:eastAsia="黑体" w:cs="黑体"/>
          <w:sz w:val="30"/>
          <w:szCs w:val="30"/>
          <w:lang w:val="en-US" w:eastAsia="zh-CN"/>
        </w:rPr>
        <w:t>3.2.15 一体机开闸计数机制优化</w:t>
      </w:r>
      <w:bookmarkEnd w:id="14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2" w:name="_Toc16077"/>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4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（1）一体机开闸计数机制优化。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（2）在停车场管理-车场配置-新增/编辑停车场配置模块中增加“一体机开闸计数时间”的设置，默认为20秒。</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3" w:name="_Toc2309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4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294890" cy="6648450"/>
            <wp:effectExtent l="0" t="0" r="3810" b="6350"/>
            <wp:docPr id="17" name="图片 17" descr="一体机开闸计数机制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一体机开闸计数机制优化"/>
                    <pic:cNvPicPr>
                      <a:picLocks noChangeAspect="1"/>
                    </pic:cNvPicPr>
                  </pic:nvPicPr>
                  <pic:blipFill>
                    <a:blip r:embed="rId31"/>
                    <a:stretch>
                      <a:fillRect/>
                    </a:stretch>
                  </pic:blipFill>
                  <pic:spPr>
                    <a:xfrm>
                      <a:off x="0" y="0"/>
                      <a:ext cx="2294890" cy="664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80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5" w:name="_Toc2620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4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2985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4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7" w:name="_Toc27858"/>
      <w:r>
        <w:rPr>
          <w:rFonts w:hint="eastAsia" w:ascii="黑体" w:hAnsi="黑体" w:eastAsia="黑体" w:cs="黑体"/>
          <w:sz w:val="30"/>
          <w:szCs w:val="30"/>
          <w:lang w:val="en-US" w:eastAsia="zh-CN"/>
        </w:rPr>
        <w:t>3.2.16 岗亭端增加高峰/常开模式的开关入口</w:t>
      </w:r>
      <w:bookmarkEnd w:id="14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8" w:name="_Toc3130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48"/>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在岗亭端-系统设置-通道信息管理中增加高峰模式和常开模式的开关入口。</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高峰模式和常开模式默认关闭，点击“关闭”按钮弹出弹窗，可选开启高峰/常开模式。</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岗亭端的高峰/常开模式的设置不上报给管理端。</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当管理端修改了高峰/常开模式的参数配置后，将覆盖掉岗亭端的设置，以管理端配置为准。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9" w:name="_Toc466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4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2995" cy="7586980"/>
            <wp:effectExtent l="0" t="0" r="1905" b="7620"/>
            <wp:docPr id="45" name="图片 45" descr="岗亭端增加高峰_常开模式的开关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岗亭端增加高峰_常开模式的开关入口"/>
                    <pic:cNvPicPr>
                      <a:picLocks noChangeAspect="1"/>
                    </pic:cNvPicPr>
                  </pic:nvPicPr>
                  <pic:blipFill>
                    <a:blip r:embed="rId32"/>
                    <a:stretch>
                      <a:fillRect/>
                    </a:stretch>
                  </pic:blipFill>
                  <pic:spPr>
                    <a:xfrm>
                      <a:off x="0" y="0"/>
                      <a:ext cx="6182995" cy="75869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（1）在岗亭端-系统设置-通道信息管理中增加高峰模式和常开模式的开关入口。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（2）高峰模式和常开模式默认关闭，点击“关闭”按钮弹出弹窗，可选开启高峰/常开模式。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（3）完成设置并确认操作后保存修改。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0" w:name="_Toc2508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5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506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5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12992"/>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5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3" w:name="_Toc13283"/>
      <w:r>
        <w:rPr>
          <w:rFonts w:hint="eastAsia" w:ascii="黑体" w:hAnsi="黑体" w:eastAsia="黑体" w:cs="黑体"/>
          <w:sz w:val="30"/>
          <w:szCs w:val="30"/>
          <w:lang w:val="en-US" w:eastAsia="zh-CN"/>
        </w:rPr>
        <w:t>3.2.17 隐藏中央收费交接班的收费汇总信息</w:t>
      </w:r>
      <w:bookmarkEnd w:id="15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54" w:name="_Toc25928"/>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当车场配置设为隐藏收费统计信息，隐藏中央收费-交接班的收费汇总详情和隐藏中央收费-下班的收费汇总详情。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730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805" cy="5922645"/>
            <wp:effectExtent l="0" t="0" r="10795" b="8255"/>
            <wp:docPr id="11" name="图片 11" descr="隐藏中央收费的收费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隐藏中央收费的收费详情"/>
                    <pic:cNvPicPr>
                      <a:picLocks noChangeAspect="1"/>
                    </pic:cNvPicPr>
                  </pic:nvPicPr>
                  <pic:blipFill>
                    <a:blip r:embed="rId33"/>
                    <a:stretch>
                      <a:fillRect/>
                    </a:stretch>
                  </pic:blipFill>
                  <pic:spPr>
                    <a:xfrm>
                      <a:off x="0" y="0"/>
                      <a:ext cx="6186805" cy="59226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2414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7" w:name="_Toc144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819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5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9" w:name="_Toc31668"/>
      <w:r>
        <w:rPr>
          <w:rFonts w:hint="eastAsia" w:ascii="黑体" w:hAnsi="黑体" w:eastAsia="黑体" w:cs="黑体"/>
          <w:sz w:val="30"/>
          <w:szCs w:val="30"/>
          <w:lang w:val="en-US" w:eastAsia="zh-CN"/>
        </w:rPr>
        <w:t>3.2.18 临时车满位到剩余时，检测触发地感有无车辆再决定是否起杆</w:t>
      </w:r>
      <w:bookmarkEnd w:id="1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0" w:name="_Toc526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6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临时车满位到剩余时，检测触发地感有无车辆再决定是否起杆。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393"/>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862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6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3" w:name="_Toc8936"/>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6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4" w:name="_Toc30070"/>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6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65" w:name="_Toc18809"/>
      <w:r>
        <w:rPr>
          <w:rFonts w:hint="eastAsia" w:ascii="黑体" w:hAnsi="黑体" w:eastAsia="黑体" w:cs="黑体"/>
          <w:sz w:val="30"/>
          <w:szCs w:val="30"/>
          <w:lang w:val="en-US" w:eastAsia="zh-CN"/>
        </w:rPr>
        <w:t>3.2.19 MBC控制卡音量重启默认改为20</w:t>
      </w:r>
      <w:bookmarkEnd w:id="16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6" w:name="_Toc16153"/>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bookmarkEnd w:id="1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MBC控制卡音量当前默认为100，重启后易扰民，需将音量改为20。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19249"/>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bookmarkEnd w:id="1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23088"/>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bookmarkEnd w:id="1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9" w:name="_Toc25810"/>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bookmarkEnd w:id="1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0" w:name="_Toc27071"/>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bookmarkEnd w:id="17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1" w:name="_Toc18800"/>
      <w:r>
        <w:rPr>
          <w:rFonts w:hint="eastAsia" w:ascii="黑体" w:hAnsi="黑体" w:eastAsia="黑体" w:cs="黑体"/>
          <w:sz w:val="30"/>
          <w:szCs w:val="30"/>
          <w:lang w:val="en-US" w:eastAsia="zh-CN"/>
        </w:rPr>
        <w:t>3.2.20福瑞泰克枪集成</w:t>
      </w:r>
      <w:bookmarkEnd w:id="1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2" w:name="_Toc2084"/>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bookmarkEnd w:id="1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（1）集成福瑞泰克枪。</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（2）在“新增摄像机设置”中增加福瑞泰克枪的</w:t>
      </w:r>
      <w:r>
        <w:rPr>
          <w:rFonts w:hint="eastAsia" w:ascii="黑体" w:hAnsi="黑体" w:eastAsia="黑体" w:cs="黑体"/>
          <w:b w:val="0"/>
          <w:bCs w:val="0"/>
          <w:color w:val="FF0000"/>
          <w:sz w:val="21"/>
          <w:szCs w:val="21"/>
          <w:lang w:val="en-US" w:eastAsia="zh-CN"/>
        </w:rPr>
        <w:t>品牌和型号</w:t>
      </w:r>
      <w:r>
        <w:rPr>
          <w:rFonts w:hint="eastAsia" w:ascii="黑体" w:hAnsi="黑体" w:eastAsia="黑体" w:cs="黑体"/>
          <w:b w:val="0"/>
          <w:bCs w:val="0"/>
          <w:sz w:val="21"/>
          <w:szCs w:val="21"/>
          <w:lang w:val="en-US" w:eastAsia="zh-CN"/>
        </w:rPr>
        <w:t>：FREETECH；</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（3）摄像机“品牌”的下拉框改为</w:t>
      </w:r>
      <w:r>
        <w:rPr>
          <w:rFonts w:hint="eastAsia" w:ascii="黑体" w:hAnsi="黑体" w:eastAsia="黑体" w:cs="黑体"/>
          <w:b w:val="0"/>
          <w:bCs w:val="0"/>
          <w:color w:val="FF0000"/>
          <w:sz w:val="21"/>
          <w:szCs w:val="21"/>
          <w:lang w:val="en-US" w:eastAsia="zh-CN"/>
        </w:rPr>
        <w:t>可输入可下拉</w:t>
      </w:r>
      <w:r>
        <w:rPr>
          <w:rFonts w:hint="eastAsia" w:ascii="黑体" w:hAnsi="黑体" w:eastAsia="黑体" w:cs="黑体"/>
          <w:b w:val="0"/>
          <w:bCs w:val="0"/>
          <w:sz w:val="21"/>
          <w:szCs w:val="21"/>
          <w:lang w:val="en-US" w:eastAsia="zh-CN"/>
        </w:rPr>
        <w:t>（与“型号”的设定方式相同）</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3050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bookmarkEnd w:id="17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2360" cy="2850515"/>
            <wp:effectExtent l="0" t="0" r="2540" b="6985"/>
            <wp:docPr id="16" name="图片 16" descr="福瑞泰克枪集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福瑞泰克枪集成"/>
                    <pic:cNvPicPr>
                      <a:picLocks noChangeAspect="1"/>
                    </pic:cNvPicPr>
                  </pic:nvPicPr>
                  <pic:blipFill>
                    <a:blip r:embed="rId34"/>
                    <a:stretch>
                      <a:fillRect/>
                    </a:stretch>
                  </pic:blipFill>
                  <pic:spPr>
                    <a:xfrm>
                      <a:off x="0" y="0"/>
                      <a:ext cx="618236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7038"/>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bookmarkEnd w:id="1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5" w:name="_Toc1698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bookmarkEnd w:id="17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6" w:name="_Toc6742"/>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bookmarkEnd w:id="17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7" w:name="_Toc21558"/>
      <w:r>
        <w:rPr>
          <w:rFonts w:hint="eastAsia" w:ascii="黑体" w:hAnsi="黑体" w:eastAsia="黑体" w:cs="黑体"/>
          <w:sz w:val="30"/>
          <w:szCs w:val="30"/>
          <w:lang w:val="en-US" w:eastAsia="zh-CN"/>
        </w:rPr>
        <w:t>3.2.21威捷网络电控板的对接</w:t>
      </w:r>
      <w:bookmarkEnd w:id="1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8" w:name="_Toc10897"/>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bookmarkEnd w:id="1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对接威捷网络电控板。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9" w:name="_Toc3238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bookmarkEnd w:id="1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0" w:name="_Toc5364"/>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bookmarkEnd w:id="1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1" w:name="_Toc545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bookmarkEnd w:id="1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2" w:name="_Toc6592"/>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bookmarkEnd w:id="18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83" w:name="_Toc18913"/>
      <w:r>
        <w:rPr>
          <w:rFonts w:hint="eastAsia" w:ascii="黑体" w:hAnsi="黑体" w:eastAsia="黑体" w:cs="黑体"/>
          <w:sz w:val="30"/>
          <w:szCs w:val="30"/>
          <w:lang w:val="en-US" w:eastAsia="zh-CN"/>
        </w:rPr>
        <w:t>3.2.22计费服务的优化</w:t>
      </w:r>
      <w:bookmarkEnd w:id="1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84" w:name="_Toc2231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bookmarkEnd w:id="1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将原来单线程的计费服务优化为多线程，提升计费服务处理速度。</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5" w:name="_Toc502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bookmarkEnd w:id="1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6" w:name="_Toc14551"/>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bookmarkEnd w:id="1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7" w:name="_Toc2519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bookmarkEnd w:id="18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8" w:name="_Toc24393"/>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bookmarkEnd w:id="18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9" w:name="_Toc5080"/>
      <w:bookmarkStart w:id="190" w:name="_Toc27720"/>
      <w:bookmarkStart w:id="191" w:name="_Toc19556"/>
      <w:bookmarkStart w:id="192" w:name="_Toc32243"/>
      <w:r>
        <w:rPr>
          <w:rFonts w:hint="eastAsia" w:ascii="黑体" w:hAnsi="黑体" w:eastAsia="黑体" w:cs="黑体"/>
          <w:szCs w:val="22"/>
          <w:lang w:val="en-US" w:eastAsia="zh-CN"/>
        </w:rPr>
        <w:t>4.非功能性需求</w:t>
      </w:r>
      <w:bookmarkEnd w:id="189"/>
      <w:bookmarkEnd w:id="190"/>
      <w:bookmarkEnd w:id="191"/>
      <w:bookmarkEnd w:id="192"/>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93" w:name="_Toc7429177"/>
            <w:bookmarkEnd w:id="193"/>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94" w:name="_Toc16300"/>
      <w:bookmarkEnd w:id="194"/>
      <w:bookmarkStart w:id="195" w:name="_Toc20296"/>
      <w:bookmarkEnd w:id="195"/>
      <w:bookmarkStart w:id="196" w:name="_Toc31005"/>
      <w:bookmarkEnd w:id="196"/>
      <w:bookmarkStart w:id="197"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8" w:name="_Toc13821"/>
      <w:bookmarkStart w:id="199" w:name="_Toc7736"/>
      <w:bookmarkStart w:id="200" w:name="_Toc10584"/>
      <w:bookmarkStart w:id="201" w:name="_Toc10698"/>
      <w:r>
        <w:rPr>
          <w:rFonts w:hint="eastAsia" w:ascii="黑体" w:hAnsi="黑体" w:eastAsia="黑体" w:cs="黑体"/>
          <w:szCs w:val="22"/>
          <w:lang w:val="en-US" w:eastAsia="zh-CN"/>
        </w:rPr>
        <w:t>5.外部接口说明</w:t>
      </w:r>
      <w:bookmarkEnd w:id="197"/>
      <w:bookmarkEnd w:id="198"/>
      <w:bookmarkEnd w:id="199"/>
      <w:bookmarkEnd w:id="200"/>
      <w:bookmarkEnd w:id="2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02" w:name="_Toc9737"/>
      <w:bookmarkEnd w:id="202"/>
      <w:bookmarkStart w:id="203" w:name="_Toc2018"/>
      <w:bookmarkEnd w:id="203"/>
      <w:bookmarkStart w:id="204" w:name="_Toc4050"/>
      <w:bookmarkEnd w:id="204"/>
      <w:bookmarkStart w:id="205" w:name="_Toc14835"/>
      <w:bookmarkStart w:id="206" w:name="_Toc28063"/>
      <w:bookmarkStart w:id="207" w:name="_Toc2635"/>
      <w:bookmarkStart w:id="208" w:name="_Toc3907"/>
      <w:bookmarkStart w:id="209" w:name="_Toc1804"/>
      <w:r>
        <w:rPr>
          <w:rFonts w:hint="eastAsia" w:ascii="黑体" w:hAnsi="黑体" w:eastAsia="黑体" w:cs="黑体"/>
          <w:szCs w:val="22"/>
          <w:lang w:val="en-US" w:eastAsia="zh-CN"/>
        </w:rPr>
        <w:t>6.附件</w:t>
      </w:r>
      <w:bookmarkEnd w:id="205"/>
      <w:bookmarkEnd w:id="206"/>
      <w:bookmarkEnd w:id="207"/>
      <w:bookmarkEnd w:id="208"/>
      <w:bookmarkEnd w:id="2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10" w:name="_Toc12766"/>
      <w:bookmarkEnd w:id="210"/>
      <w:bookmarkStart w:id="211" w:name="_Toc8307"/>
      <w:bookmarkEnd w:id="211"/>
      <w:bookmarkStart w:id="212" w:name="_Toc7732"/>
      <w:bookmarkEnd w:id="212"/>
      <w:bookmarkStart w:id="213" w:name="_Toc21233"/>
      <w:bookmarkStart w:id="214" w:name="_Toc4384"/>
      <w:bookmarkStart w:id="215" w:name="_Toc23728"/>
      <w:bookmarkStart w:id="216" w:name="_Toc5359"/>
      <w:bookmarkStart w:id="217" w:name="_Toc19341"/>
      <w:r>
        <w:rPr>
          <w:rFonts w:hint="eastAsia" w:ascii="黑体" w:hAnsi="黑体" w:eastAsia="黑体" w:cs="黑体"/>
          <w:szCs w:val="22"/>
          <w:lang w:val="en-US" w:eastAsia="zh-CN"/>
        </w:rPr>
        <w:t>7.附录</w:t>
      </w:r>
      <w:bookmarkEnd w:id="213"/>
      <w:bookmarkEnd w:id="214"/>
      <w:bookmarkEnd w:id="215"/>
      <w:bookmarkEnd w:id="216"/>
      <w:bookmarkEnd w:id="21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18" w:name="_Toc25562"/>
      <w:bookmarkEnd w:id="218"/>
      <w:bookmarkStart w:id="219" w:name="_Toc20160"/>
      <w:bookmarkEnd w:id="219"/>
      <w:bookmarkStart w:id="220" w:name="_Toc10464"/>
      <w:bookmarkStart w:id="221" w:name="_Toc28928"/>
      <w:bookmarkStart w:id="222" w:name="_Toc22105"/>
      <w:bookmarkStart w:id="223" w:name="_Toc17965"/>
      <w:bookmarkStart w:id="224" w:name="_Toc18023"/>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20"/>
      <w:bookmarkEnd w:id="221"/>
      <w:bookmarkEnd w:id="222"/>
      <w:bookmarkEnd w:id="223"/>
      <w:bookmarkEnd w:id="224"/>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25" w:name="_Toc1779"/>
      <w:bookmarkEnd w:id="225"/>
      <w:bookmarkStart w:id="226" w:name="_Toc32744"/>
      <w:bookmarkEnd w:id="226"/>
      <w:bookmarkStart w:id="227" w:name="_Toc2158"/>
      <w:bookmarkStart w:id="228" w:name="_Toc14972"/>
      <w:bookmarkStart w:id="229" w:name="_Toc7021"/>
      <w:bookmarkStart w:id="230" w:name="_Toc9981"/>
      <w:bookmarkStart w:id="231"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27"/>
      <w:bookmarkEnd w:id="228"/>
      <w:bookmarkEnd w:id="229"/>
      <w:bookmarkEnd w:id="230"/>
      <w:bookmarkEnd w:id="2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0E301B"/>
    <w:multiLevelType w:val="singleLevel"/>
    <w:tmpl w:val="8D0E301B"/>
    <w:lvl w:ilvl="0" w:tentative="0">
      <w:start w:val="1"/>
      <w:numFmt w:val="decimal"/>
      <w:suff w:val="nothing"/>
      <w:lvlText w:val="（%1）"/>
      <w:lvlJc w:val="left"/>
    </w:lvl>
  </w:abstractNum>
  <w:abstractNum w:abstractNumId="1">
    <w:nsid w:val="9736B05C"/>
    <w:multiLevelType w:val="singleLevel"/>
    <w:tmpl w:val="9736B05C"/>
    <w:lvl w:ilvl="0" w:tentative="0">
      <w:start w:val="1"/>
      <w:numFmt w:val="decimal"/>
      <w:suff w:val="nothing"/>
      <w:lvlText w:val="（%1）"/>
      <w:lvlJc w:val="left"/>
    </w:lvl>
  </w:abstractNum>
  <w:abstractNum w:abstractNumId="2">
    <w:nsid w:val="9A809A61"/>
    <w:multiLevelType w:val="singleLevel"/>
    <w:tmpl w:val="9A809A61"/>
    <w:lvl w:ilvl="0" w:tentative="0">
      <w:start w:val="1"/>
      <w:numFmt w:val="decimal"/>
      <w:suff w:val="nothing"/>
      <w:lvlText w:val="（%1）"/>
      <w:lvlJc w:val="left"/>
    </w:lvl>
  </w:abstractNum>
  <w:abstractNum w:abstractNumId="3">
    <w:nsid w:val="D965F89C"/>
    <w:multiLevelType w:val="singleLevel"/>
    <w:tmpl w:val="D965F89C"/>
    <w:lvl w:ilvl="0" w:tentative="0">
      <w:start w:val="1"/>
      <w:numFmt w:val="decimal"/>
      <w:suff w:val="nothing"/>
      <w:lvlText w:val="（%1）"/>
      <w:lvlJc w:val="left"/>
    </w:lvl>
  </w:abstractNum>
  <w:abstractNum w:abstractNumId="4">
    <w:nsid w:val="F1DA53D1"/>
    <w:multiLevelType w:val="singleLevel"/>
    <w:tmpl w:val="F1DA53D1"/>
    <w:lvl w:ilvl="0" w:tentative="0">
      <w:start w:val="1"/>
      <w:numFmt w:val="decimal"/>
      <w:suff w:val="nothing"/>
      <w:lvlText w:val="（%1）"/>
      <w:lvlJc w:val="left"/>
    </w:lvl>
  </w:abstractNum>
  <w:abstractNum w:abstractNumId="5">
    <w:nsid w:val="FAF4FB66"/>
    <w:multiLevelType w:val="singleLevel"/>
    <w:tmpl w:val="FAF4FB66"/>
    <w:lvl w:ilvl="0" w:tentative="0">
      <w:start w:val="1"/>
      <w:numFmt w:val="decimal"/>
      <w:suff w:val="nothing"/>
      <w:lvlText w:val="（%1）"/>
      <w:lvlJc w:val="left"/>
    </w:lvl>
  </w:abstractNum>
  <w:abstractNum w:abstractNumId="6">
    <w:nsid w:val="21B6A083"/>
    <w:multiLevelType w:val="singleLevel"/>
    <w:tmpl w:val="21B6A083"/>
    <w:lvl w:ilvl="0" w:tentative="0">
      <w:start w:val="1"/>
      <w:numFmt w:val="decimal"/>
      <w:suff w:val="nothing"/>
      <w:lvlText w:val="（%1）"/>
      <w:lvlJc w:val="left"/>
    </w:lvl>
  </w:abstractNum>
  <w:abstractNum w:abstractNumId="7">
    <w:nsid w:val="2CFEB2E1"/>
    <w:multiLevelType w:val="singleLevel"/>
    <w:tmpl w:val="2CFEB2E1"/>
    <w:lvl w:ilvl="0" w:tentative="0">
      <w:start w:val="1"/>
      <w:numFmt w:val="decimal"/>
      <w:suff w:val="nothing"/>
      <w:lvlText w:val="（%1）"/>
      <w:lvlJc w:val="left"/>
    </w:lvl>
  </w:abstractNum>
  <w:abstractNum w:abstractNumId="8">
    <w:nsid w:val="55F9768D"/>
    <w:multiLevelType w:val="singleLevel"/>
    <w:tmpl w:val="55F9768D"/>
    <w:lvl w:ilvl="0" w:tentative="0">
      <w:start w:val="1"/>
      <w:numFmt w:val="decimal"/>
      <w:suff w:val="nothing"/>
      <w:lvlText w:val="%1、"/>
      <w:lvlJc w:val="left"/>
    </w:lvl>
  </w:abstractNum>
  <w:abstractNum w:abstractNumId="9">
    <w:nsid w:val="55F97F5F"/>
    <w:multiLevelType w:val="singleLevel"/>
    <w:tmpl w:val="55F97F5F"/>
    <w:lvl w:ilvl="0" w:tentative="0">
      <w:start w:val="1"/>
      <w:numFmt w:val="decimal"/>
      <w:suff w:val="nothing"/>
      <w:lvlText w:val="%1、"/>
      <w:lvlJc w:val="left"/>
    </w:lvl>
  </w:abstractNum>
  <w:abstractNum w:abstractNumId="10">
    <w:nsid w:val="55F998A4"/>
    <w:multiLevelType w:val="singleLevel"/>
    <w:tmpl w:val="55F998A4"/>
    <w:lvl w:ilvl="0" w:tentative="0">
      <w:start w:val="1"/>
      <w:numFmt w:val="decimal"/>
      <w:suff w:val="nothing"/>
      <w:lvlText w:val="%1、"/>
      <w:lvlJc w:val="left"/>
    </w:lvl>
  </w:abstractNum>
  <w:abstractNum w:abstractNumId="11">
    <w:nsid w:val="55F9993B"/>
    <w:multiLevelType w:val="singleLevel"/>
    <w:tmpl w:val="55F9993B"/>
    <w:lvl w:ilvl="0" w:tentative="0">
      <w:start w:val="1"/>
      <w:numFmt w:val="decimal"/>
      <w:suff w:val="nothing"/>
      <w:lvlText w:val="%1、"/>
      <w:lvlJc w:val="left"/>
    </w:lvl>
  </w:abstractNum>
  <w:abstractNum w:abstractNumId="12">
    <w:nsid w:val="55FCFACF"/>
    <w:multiLevelType w:val="singleLevel"/>
    <w:tmpl w:val="55FCFACF"/>
    <w:lvl w:ilvl="0" w:tentative="0">
      <w:start w:val="1"/>
      <w:numFmt w:val="decimal"/>
      <w:suff w:val="nothing"/>
      <w:lvlText w:val="%1、"/>
      <w:lvlJc w:val="left"/>
    </w:lvl>
  </w:abstractNum>
  <w:abstractNum w:abstractNumId="13">
    <w:nsid w:val="56AD97C3"/>
    <w:multiLevelType w:val="singleLevel"/>
    <w:tmpl w:val="56AD97C3"/>
    <w:lvl w:ilvl="0" w:tentative="0">
      <w:start w:val="1"/>
      <w:numFmt w:val="decimal"/>
      <w:suff w:val="nothing"/>
      <w:lvlText w:val="%1、"/>
      <w:lvlJc w:val="left"/>
    </w:lvl>
  </w:abstractNum>
  <w:abstractNum w:abstractNumId="14">
    <w:nsid w:val="56AD982D"/>
    <w:multiLevelType w:val="singleLevel"/>
    <w:tmpl w:val="56AD982D"/>
    <w:lvl w:ilvl="0" w:tentative="0">
      <w:start w:val="1"/>
      <w:numFmt w:val="decimal"/>
      <w:suff w:val="nothing"/>
      <w:lvlText w:val="%1、"/>
      <w:lvlJc w:val="left"/>
    </w:lvl>
  </w:abstractNum>
  <w:abstractNum w:abstractNumId="15">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6">
    <w:nsid w:val="59FF3EF2"/>
    <w:multiLevelType w:val="singleLevel"/>
    <w:tmpl w:val="59FF3EF2"/>
    <w:lvl w:ilvl="0" w:tentative="0">
      <w:start w:val="9"/>
      <w:numFmt w:val="decimal"/>
      <w:suff w:val="nothing"/>
      <w:lvlText w:val="%1、"/>
      <w:lvlJc w:val="left"/>
    </w:lvl>
  </w:abstractNum>
  <w:abstractNum w:abstractNumId="17">
    <w:nsid w:val="59FF3F2B"/>
    <w:multiLevelType w:val="singleLevel"/>
    <w:tmpl w:val="59FF3F2B"/>
    <w:lvl w:ilvl="0" w:tentative="0">
      <w:start w:val="2"/>
      <w:numFmt w:val="decimal"/>
      <w:lvlText w:val="%1."/>
      <w:lvlJc w:val="left"/>
      <w:pPr>
        <w:tabs>
          <w:tab w:val="left" w:pos="312"/>
        </w:tabs>
      </w:pPr>
    </w:lvl>
  </w:abstractNum>
  <w:abstractNum w:abstractNumId="18">
    <w:nsid w:val="64A9E851"/>
    <w:multiLevelType w:val="singleLevel"/>
    <w:tmpl w:val="64A9E851"/>
    <w:lvl w:ilvl="0" w:tentative="0">
      <w:start w:val="1"/>
      <w:numFmt w:val="decimal"/>
      <w:suff w:val="nothing"/>
      <w:lvlText w:val="（%1）"/>
      <w:lvlJc w:val="left"/>
    </w:lvl>
  </w:abstractNum>
  <w:num w:numId="1">
    <w:abstractNumId w:val="15"/>
  </w:num>
  <w:num w:numId="2">
    <w:abstractNumId w:val="6"/>
  </w:num>
  <w:num w:numId="3">
    <w:abstractNumId w:val="8"/>
  </w:num>
  <w:num w:numId="4">
    <w:abstractNumId w:val="9"/>
  </w:num>
  <w:num w:numId="5">
    <w:abstractNumId w:val="10"/>
  </w:num>
  <w:num w:numId="6">
    <w:abstractNumId w:val="11"/>
  </w:num>
  <w:num w:numId="7">
    <w:abstractNumId w:val="12"/>
  </w:num>
  <w:num w:numId="8">
    <w:abstractNumId w:val="13"/>
  </w:num>
  <w:num w:numId="9">
    <w:abstractNumId w:val="14"/>
  </w:num>
  <w:num w:numId="10">
    <w:abstractNumId w:val="16"/>
  </w:num>
  <w:num w:numId="11">
    <w:abstractNumId w:val="17"/>
  </w:num>
  <w:num w:numId="12">
    <w:abstractNumId w:val="5"/>
  </w:num>
  <w:num w:numId="13">
    <w:abstractNumId w:val="3"/>
  </w:num>
  <w:num w:numId="14">
    <w:abstractNumId w:val="18"/>
  </w:num>
  <w:num w:numId="15">
    <w:abstractNumId w:val="2"/>
  </w:num>
  <w:num w:numId="16">
    <w:abstractNumId w:val="1"/>
  </w:num>
  <w:num w:numId="17">
    <w:abstractNumId w:val="0"/>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613967"/>
    <w:rsid w:val="018242F4"/>
    <w:rsid w:val="024B37A3"/>
    <w:rsid w:val="026D5330"/>
    <w:rsid w:val="033A199A"/>
    <w:rsid w:val="040E5A59"/>
    <w:rsid w:val="079A47E8"/>
    <w:rsid w:val="08D5481F"/>
    <w:rsid w:val="09941166"/>
    <w:rsid w:val="09F32BAB"/>
    <w:rsid w:val="0A4B57DB"/>
    <w:rsid w:val="0A722F6F"/>
    <w:rsid w:val="0A7F6570"/>
    <w:rsid w:val="0A961516"/>
    <w:rsid w:val="0ACB59BB"/>
    <w:rsid w:val="0B3C4D22"/>
    <w:rsid w:val="0C30635A"/>
    <w:rsid w:val="0CB964AE"/>
    <w:rsid w:val="0CF80CF3"/>
    <w:rsid w:val="0DD103FE"/>
    <w:rsid w:val="0E1F52D0"/>
    <w:rsid w:val="0E9C1059"/>
    <w:rsid w:val="0F0236E3"/>
    <w:rsid w:val="0F486C53"/>
    <w:rsid w:val="10D122A2"/>
    <w:rsid w:val="146D61C8"/>
    <w:rsid w:val="149A5FCB"/>
    <w:rsid w:val="14E13803"/>
    <w:rsid w:val="15E472B5"/>
    <w:rsid w:val="16F31782"/>
    <w:rsid w:val="176D6C52"/>
    <w:rsid w:val="17BE328B"/>
    <w:rsid w:val="18E35A71"/>
    <w:rsid w:val="19584E70"/>
    <w:rsid w:val="19E91023"/>
    <w:rsid w:val="1BBF0B2E"/>
    <w:rsid w:val="1BC801E1"/>
    <w:rsid w:val="1C660EA8"/>
    <w:rsid w:val="1E901F7C"/>
    <w:rsid w:val="1EFF3105"/>
    <w:rsid w:val="1F4053E1"/>
    <w:rsid w:val="1F9175DD"/>
    <w:rsid w:val="1FD40AC1"/>
    <w:rsid w:val="1FDA55E4"/>
    <w:rsid w:val="21556B33"/>
    <w:rsid w:val="21C52E5B"/>
    <w:rsid w:val="21F079BD"/>
    <w:rsid w:val="22F12B39"/>
    <w:rsid w:val="24026708"/>
    <w:rsid w:val="24110BDC"/>
    <w:rsid w:val="25523972"/>
    <w:rsid w:val="269F2806"/>
    <w:rsid w:val="270A188D"/>
    <w:rsid w:val="27B63F0C"/>
    <w:rsid w:val="27C82EE9"/>
    <w:rsid w:val="286E15C7"/>
    <w:rsid w:val="2B4D5E51"/>
    <w:rsid w:val="2C5113AD"/>
    <w:rsid w:val="2C94733E"/>
    <w:rsid w:val="2D46206F"/>
    <w:rsid w:val="2D6A6053"/>
    <w:rsid w:val="2D8B5444"/>
    <w:rsid w:val="2E34253D"/>
    <w:rsid w:val="2EE36A68"/>
    <w:rsid w:val="30BF1C98"/>
    <w:rsid w:val="30EC03B7"/>
    <w:rsid w:val="31E72325"/>
    <w:rsid w:val="328F2334"/>
    <w:rsid w:val="33026B42"/>
    <w:rsid w:val="35483586"/>
    <w:rsid w:val="35D84143"/>
    <w:rsid w:val="362408DD"/>
    <w:rsid w:val="386540D4"/>
    <w:rsid w:val="39281FB8"/>
    <w:rsid w:val="393D2BDA"/>
    <w:rsid w:val="39D5106B"/>
    <w:rsid w:val="3A6A0CCC"/>
    <w:rsid w:val="3AFF0E52"/>
    <w:rsid w:val="3D467BE1"/>
    <w:rsid w:val="3DFE637F"/>
    <w:rsid w:val="3E2157EC"/>
    <w:rsid w:val="3E6720EA"/>
    <w:rsid w:val="3FF60A94"/>
    <w:rsid w:val="40043DFF"/>
    <w:rsid w:val="42067127"/>
    <w:rsid w:val="420C7426"/>
    <w:rsid w:val="43904F14"/>
    <w:rsid w:val="43D26F53"/>
    <w:rsid w:val="43E45AEF"/>
    <w:rsid w:val="450565BC"/>
    <w:rsid w:val="452E2E59"/>
    <w:rsid w:val="45540C09"/>
    <w:rsid w:val="45D7126C"/>
    <w:rsid w:val="46DF3B94"/>
    <w:rsid w:val="47AC127C"/>
    <w:rsid w:val="48AD65D4"/>
    <w:rsid w:val="4AF0125F"/>
    <w:rsid w:val="4B3A05C6"/>
    <w:rsid w:val="4E00011F"/>
    <w:rsid w:val="4F1A3377"/>
    <w:rsid w:val="509E0051"/>
    <w:rsid w:val="50C33CE7"/>
    <w:rsid w:val="546B10E1"/>
    <w:rsid w:val="54E52557"/>
    <w:rsid w:val="55173F32"/>
    <w:rsid w:val="56D01A3A"/>
    <w:rsid w:val="570B58F6"/>
    <w:rsid w:val="57865A3B"/>
    <w:rsid w:val="58622DE9"/>
    <w:rsid w:val="588E1E50"/>
    <w:rsid w:val="58B32063"/>
    <w:rsid w:val="59E30BD5"/>
    <w:rsid w:val="5A036482"/>
    <w:rsid w:val="5B3B3E73"/>
    <w:rsid w:val="5C0E5D17"/>
    <w:rsid w:val="5D6D3580"/>
    <w:rsid w:val="5FC46BEE"/>
    <w:rsid w:val="60834BCD"/>
    <w:rsid w:val="60DA2B09"/>
    <w:rsid w:val="63AB0A11"/>
    <w:rsid w:val="644D276C"/>
    <w:rsid w:val="64930956"/>
    <w:rsid w:val="65740DE3"/>
    <w:rsid w:val="65C50433"/>
    <w:rsid w:val="672B1A97"/>
    <w:rsid w:val="674C78E8"/>
    <w:rsid w:val="67CC2AF6"/>
    <w:rsid w:val="689632EB"/>
    <w:rsid w:val="694533AA"/>
    <w:rsid w:val="69530AA0"/>
    <w:rsid w:val="69851D54"/>
    <w:rsid w:val="69A219A8"/>
    <w:rsid w:val="6A094F90"/>
    <w:rsid w:val="6B0D2DB4"/>
    <w:rsid w:val="6BC1688F"/>
    <w:rsid w:val="7014565A"/>
    <w:rsid w:val="708A30AC"/>
    <w:rsid w:val="70980D7C"/>
    <w:rsid w:val="70EA4A99"/>
    <w:rsid w:val="71C76BBC"/>
    <w:rsid w:val="721475D5"/>
    <w:rsid w:val="724F440B"/>
    <w:rsid w:val="72E76658"/>
    <w:rsid w:val="72EB3E29"/>
    <w:rsid w:val="7307371D"/>
    <w:rsid w:val="730F5D42"/>
    <w:rsid w:val="73701B47"/>
    <w:rsid w:val="73EB53A3"/>
    <w:rsid w:val="744329EF"/>
    <w:rsid w:val="74EC2A36"/>
    <w:rsid w:val="75D26B65"/>
    <w:rsid w:val="761F687C"/>
    <w:rsid w:val="76880159"/>
    <w:rsid w:val="779B1DA3"/>
    <w:rsid w:val="78CB4D4F"/>
    <w:rsid w:val="798C4AE7"/>
    <w:rsid w:val="7A4D0A2A"/>
    <w:rsid w:val="7BBF42CE"/>
    <w:rsid w:val="7C4C112D"/>
    <w:rsid w:val="7D682341"/>
    <w:rsid w:val="7E9579DC"/>
    <w:rsid w:val="7F172D35"/>
    <w:rsid w:val="7FC8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2018-03-22T09:43:18Z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