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  <w:r>
        <w:rPr>
          <w:sz w:val="8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166370</wp:posOffset>
                </wp:positionH>
                <wp:positionV relativeFrom="paragraph">
                  <wp:posOffset>506730</wp:posOffset>
                </wp:positionV>
                <wp:extent cx="0" cy="2347595"/>
                <wp:effectExtent l="13970" t="13970" r="24130" b="19685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47445" y="2301240"/>
                          <a:ext cx="0" cy="2347595"/>
                        </a:xfrm>
                        <a:prstGeom prst="line">
                          <a:avLst/>
                        </a:prstGeom>
                        <a:ln w="28575" cap="rnd">
                          <a:solidFill>
                            <a:srgbClr val="2E75B5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.1pt;margin-top:39.9pt;height:184.85pt;width:0pt;z-index:251662336;mso-width-relative:page;mso-height-relative:page;" filled="f" stroked="t" coordsize="21600,21600" o:gfxdata="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2Hi421gAAAAgBAAAPAAAAAAAAAAEAIAAAACIAAABkcnMvZG93bnJldi54bWxQ&#10;SwECFAAUAAAACACHTuJAN++nFfkBAADDAwAADgAAAAAAAAABACAAAAAlAQAAZHJzL2Uyb0RvYy54&#10;bWxQSwUGAAAAAAYABgBZAQAAkAUAAAAA&#10;">
                <v:fill on="f" focussize="0,0"/>
                <v:stroke weight="2.25pt" color="#2E75B5 [3204]" miterlimit="8" joinstyle="miter" endcap="round"/>
                <v:imagedata o:title=""/>
                <o:lock v:ext="edit" aspectratio="f"/>
              </v:line>
            </w:pict>
          </mc:Fallback>
        </mc:AlternateContent>
      </w:r>
    </w:p>
    <w:p>
      <w:pPr>
        <w:ind w:firstLine="0" w:firstLineChars="0"/>
        <w:jc w:val="both"/>
        <w:rPr>
          <w:rFonts w:hint="eastAsia"/>
          <w:b/>
          <w:bCs/>
          <w:iCs/>
          <w:color w:val="2E75B6" w:themeColor="accent1" w:themeShade="BF"/>
          <w:sz w:val="52"/>
          <w:szCs w:val="52"/>
          <w:lang w:val="en-US" w:eastAsia="zh-CN"/>
        </w:rPr>
      </w:pPr>
      <w:r>
        <w:rPr>
          <w:rFonts w:hint="eastAsia"/>
          <w:b/>
          <w:bCs/>
          <w:iCs/>
          <w:color w:val="2E75B6" w:themeColor="accent1" w:themeShade="BF"/>
          <w:sz w:val="84"/>
          <w:szCs w:val="84"/>
          <w:lang w:val="en-US" w:eastAsia="zh-CN"/>
        </w:rPr>
        <w:t xml:space="preserve"> CTS</w:t>
      </w:r>
      <w:r>
        <w:rPr>
          <w:rFonts w:hint="eastAsia"/>
          <w:b/>
          <w:bCs/>
          <w:iCs/>
          <w:color w:val="2E75B6" w:themeColor="accent1" w:themeShade="BF"/>
          <w:sz w:val="72"/>
          <w:szCs w:val="72"/>
          <w:lang w:val="en-US" w:eastAsia="zh-CN"/>
        </w:rPr>
        <w:t xml:space="preserve"> </w:t>
      </w:r>
      <w:r>
        <w:rPr>
          <w:rFonts w:hint="eastAsia"/>
          <w:b/>
          <w:bCs/>
          <w:i/>
          <w:iCs w:val="0"/>
          <w:color w:val="2E75B6" w:themeColor="accent1" w:themeShade="BF"/>
          <w:sz w:val="52"/>
          <w:szCs w:val="52"/>
          <w:lang w:val="en-US" w:eastAsia="zh-CN"/>
        </w:rPr>
        <w:t>—</w:t>
      </w:r>
      <w:r>
        <w:rPr>
          <w:rFonts w:hint="eastAsia"/>
          <w:b/>
          <w:bCs/>
          <w:i/>
          <w:iCs w:val="0"/>
          <w:color w:val="2E75B6" w:themeColor="accent1" w:themeShade="BF"/>
          <w:sz w:val="44"/>
          <w:szCs w:val="44"/>
          <w:lang w:val="en-US" w:eastAsia="zh-CN"/>
        </w:rPr>
        <w:t>中央收费软件</w:t>
      </w: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  <w:lang w:val="en-US" w:eastAsia="zh-CN"/>
        </w:rPr>
      </w:pPr>
      <w:r>
        <w:rPr>
          <w:rFonts w:hint="eastAsia"/>
          <w:b w:val="0"/>
          <w:bCs w:val="0"/>
          <w:iCs/>
          <w:color w:val="2E75B6" w:themeColor="accent1" w:themeShade="BF"/>
          <w:sz w:val="84"/>
          <w:szCs w:val="84"/>
          <w:lang w:val="en-US" w:eastAsia="zh-CN"/>
        </w:rPr>
        <w:t xml:space="preserve"> 用户手册</w:t>
      </w:r>
    </w:p>
    <w:p>
      <w:pPr>
        <w:ind w:firstLine="420" w:firstLineChars="0"/>
        <w:jc w:val="both"/>
        <w:rPr>
          <w:rFonts w:hint="eastAsia" w:eastAsiaTheme="minorEastAsia"/>
          <w:b/>
          <w:bCs/>
          <w:i/>
          <w:iCs w:val="0"/>
          <w:sz w:val="52"/>
          <w:szCs w:val="52"/>
          <w:lang w:eastAsia="zh-CN"/>
        </w:rPr>
      </w:pPr>
      <w:r>
        <w:rPr>
          <w:rFonts w:hint="eastAsia"/>
          <w:b w:val="0"/>
          <w:bCs w:val="0"/>
          <w:i/>
          <w:iCs w:val="0"/>
          <w:color w:val="2E75B6" w:themeColor="accent1" w:themeShade="BF"/>
          <w:sz w:val="28"/>
          <w:szCs w:val="28"/>
          <w:lang w:eastAsia="zh-CN"/>
        </w:rPr>
        <w:t>专注静态交通，用智慧解决停车难题</w:t>
      </w:r>
    </w:p>
    <w:p>
      <w:pPr>
        <w:ind w:firstLine="0" w:firstLineChars="0"/>
        <w:jc w:val="both"/>
        <w:rPr>
          <w:rFonts w:hint="eastAsia"/>
          <w:b/>
          <w:bCs/>
          <w:i/>
          <w:iCs w:val="0"/>
          <w:sz w:val="52"/>
          <w:szCs w:val="52"/>
        </w:rPr>
      </w:pPr>
    </w:p>
    <w:p>
      <w:pPr>
        <w:ind w:firstLine="42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ind w:firstLine="0" w:firstLineChars="0"/>
        <w:jc w:val="both"/>
        <w:rPr>
          <w:rFonts w:hint="eastAsia"/>
          <w:b/>
          <w:bCs/>
          <w:iCs/>
          <w:sz w:val="52"/>
          <w:szCs w:val="5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51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Microsoft JhengHei" w:hAnsi="Microsoft JhengHei" w:eastAsia="Microsoft JhengHei" w:cs="Microsoft JhengHei"/>
          <w:i w:val="0"/>
          <w:iCs w:val="0"/>
          <w:color w:val="0000FF"/>
          <w:sz w:val="24"/>
          <w:szCs w:val="24"/>
        </w:rPr>
      </w:pPr>
    </w:p>
    <w:p>
      <w:pPr>
        <w:ind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sectPr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</w:p>
    <w:p>
      <w:pPr>
        <w:pStyle w:val="7"/>
        <w:tabs>
          <w:tab w:val="right" w:leader="dot" w:pos="9746"/>
        </w:tabs>
        <w:ind w:left="0" w:leftChars="0" w:firstLine="320" w:firstLineChars="100"/>
        <w:jc w:val="center"/>
        <w:rPr>
          <w:rFonts w:hint="eastAsia" w:ascii="黑体" w:hAnsi="黑体" w:eastAsia="黑体" w:cs="黑体"/>
          <w:b w:val="0"/>
          <w:bCs w:val="0"/>
          <w:iCs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iCs/>
          <w:sz w:val="32"/>
          <w:szCs w:val="32"/>
          <w:lang w:val="en-US" w:eastAsia="zh-CN"/>
        </w:rPr>
        <w:t>目录</w:t>
      </w:r>
    </w:p>
    <w:p>
      <w:pPr>
        <w:rPr>
          <w:rFonts w:hint="eastAsia"/>
          <w:lang w:val="en-US" w:eastAsia="zh-CN"/>
        </w:rPr>
      </w:pPr>
    </w:p>
    <w:p>
      <w:pPr>
        <w:pStyle w:val="7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instrText xml:space="preserve">TOC \o "1-3" \h \u </w:instrText>
      </w:r>
      <w:r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_Toc26359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bCs w:val="0"/>
          <w:kern w:val="2"/>
          <w:szCs w:val="32"/>
          <w:lang w:val="en-US" w:eastAsia="zh-CN" w:bidi="ar-SA"/>
        </w:rPr>
        <w:t>一、收费主界面</w:t>
      </w:r>
      <w:r>
        <w:tab/>
      </w:r>
      <w:r>
        <w:fldChar w:fldCharType="begin"/>
      </w:r>
      <w:r>
        <w:instrText xml:space="preserve"> PAGEREF _Toc26359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_Toc157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1.1当班统计</w:t>
      </w:r>
      <w:r>
        <w:tab/>
      </w:r>
      <w:r>
        <w:fldChar w:fldCharType="begin"/>
      </w:r>
      <w:r>
        <w:instrText xml:space="preserve"> PAGEREF _Toc157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_Toc8430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1.2车辆列表</w:t>
      </w:r>
      <w:r>
        <w:tab/>
      </w:r>
      <w:r>
        <w:fldChar w:fldCharType="begin"/>
      </w:r>
      <w:r>
        <w:instrText xml:space="preserve"> PAGEREF _Toc8430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_Toc20830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1.3收费操作面板</w:t>
      </w:r>
      <w:r>
        <w:tab/>
      </w:r>
      <w:r>
        <w:fldChar w:fldCharType="begin"/>
      </w:r>
      <w:r>
        <w:instrText xml:space="preserve"> PAGEREF _Toc20830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7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_Toc16471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bCs w:val="0"/>
          <w:kern w:val="2"/>
          <w:szCs w:val="32"/>
          <w:lang w:val="en-US" w:eastAsia="zh-CN" w:bidi="ar-SA"/>
        </w:rPr>
        <w:t>二、用户中心</w:t>
      </w:r>
      <w:r>
        <w:tab/>
      </w:r>
      <w:r>
        <w:fldChar w:fldCharType="begin"/>
      </w:r>
      <w:r>
        <w:instrText xml:space="preserve"> PAGEREF _Toc16471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_Toc5440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2.1启用/停用通道</w:t>
      </w:r>
      <w:r>
        <w:tab/>
      </w:r>
      <w:r>
        <w:fldChar w:fldCharType="begin"/>
      </w:r>
      <w:r>
        <w:instrText xml:space="preserve"> PAGEREF _Toc5440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_Toc2295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2.2修改密码</w:t>
      </w:r>
      <w:r>
        <w:tab/>
      </w:r>
      <w:r>
        <w:fldChar w:fldCharType="begin"/>
      </w:r>
      <w:r>
        <w:instrText xml:space="preserve"> PAGEREF _Toc2295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_Toc3761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2.3交接班</w:t>
      </w:r>
      <w:r>
        <w:tab/>
      </w:r>
      <w:r>
        <w:fldChar w:fldCharType="begin"/>
      </w:r>
      <w:r>
        <w:instrText xml:space="preserve"> PAGEREF _Toc3761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_Toc29270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2.4下班</w:t>
      </w:r>
      <w:r>
        <w:tab/>
      </w:r>
      <w:r>
        <w:fldChar w:fldCharType="begin"/>
      </w:r>
      <w:r>
        <w:instrText xml:space="preserve"> PAGEREF _Toc29270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7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_Toc25246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bCs w:val="0"/>
          <w:kern w:val="2"/>
          <w:szCs w:val="32"/>
          <w:lang w:val="en-US" w:eastAsia="zh-CN" w:bidi="ar-SA"/>
        </w:rPr>
        <w:t>三、信息列表</w:t>
      </w:r>
      <w:r>
        <w:tab/>
      </w:r>
      <w:r>
        <w:fldChar w:fldCharType="begin"/>
      </w:r>
      <w:r>
        <w:instrText xml:space="preserve"> PAGEREF _Toc25246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_Toc4876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3.1 VIP车辆</w:t>
      </w:r>
      <w:r>
        <w:tab/>
      </w:r>
      <w:r>
        <w:fldChar w:fldCharType="begin"/>
      </w:r>
      <w:r>
        <w:instrText xml:space="preserve"> PAGEREF _Toc4876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_Toc17691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3.2欠费车辆</w:t>
      </w:r>
      <w:r>
        <w:tab/>
      </w:r>
      <w:r>
        <w:fldChar w:fldCharType="begin"/>
      </w:r>
      <w:r>
        <w:instrText xml:space="preserve"> PAGEREF _Toc17691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7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_Toc20312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bCs w:val="0"/>
          <w:kern w:val="2"/>
          <w:szCs w:val="32"/>
          <w:lang w:val="en-US" w:eastAsia="zh-CN" w:bidi="ar-SA"/>
        </w:rPr>
        <w:t>四、凭条打印设置</w:t>
      </w:r>
      <w:r>
        <w:tab/>
      </w:r>
      <w:r>
        <w:fldChar w:fldCharType="begin"/>
      </w:r>
      <w:r>
        <w:instrText xml:space="preserve"> PAGEREF _Toc20312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_Toc20502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4.1缴费凭条打印</w:t>
      </w:r>
      <w:r>
        <w:tab/>
      </w:r>
      <w:r>
        <w:fldChar w:fldCharType="begin"/>
      </w:r>
      <w:r>
        <w:instrText xml:space="preserve"> PAGEREF _Toc20502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_Toc11624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4.2补缴凭条打印</w:t>
      </w:r>
      <w:r>
        <w:tab/>
      </w:r>
      <w:r>
        <w:fldChar w:fldCharType="begin"/>
      </w:r>
      <w:r>
        <w:instrText xml:space="preserve"> PAGEREF _Toc11624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7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_Toc31999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bCs w:val="0"/>
          <w:kern w:val="2"/>
          <w:szCs w:val="32"/>
          <w:lang w:val="en-US" w:eastAsia="zh-CN" w:bidi="ar-SA"/>
        </w:rPr>
        <w:t>五、更换主题</w:t>
      </w:r>
      <w:r>
        <w:tab/>
      </w:r>
      <w:r>
        <w:fldChar w:fldCharType="begin"/>
      </w:r>
      <w:r>
        <w:instrText xml:space="preserve"> PAGEREF _Toc31999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7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_Toc1284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bCs w:val="0"/>
          <w:kern w:val="2"/>
          <w:szCs w:val="32"/>
          <w:lang w:val="en-US" w:eastAsia="zh-CN" w:bidi="ar-SA"/>
        </w:rPr>
        <w:t>六、中央辅屏</w:t>
      </w:r>
      <w:r>
        <w:tab/>
      </w:r>
      <w:r>
        <w:fldChar w:fldCharType="begin"/>
      </w:r>
      <w:r>
        <w:instrText xml:space="preserve"> PAGEREF _Toc1284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_Toc16454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6.1软键盘辅屏</w:t>
      </w:r>
      <w:r>
        <w:tab/>
      </w:r>
      <w:r>
        <w:fldChar w:fldCharType="begin"/>
      </w:r>
      <w:r>
        <w:instrText xml:space="preserve"> PAGEREF _Toc16454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pStyle w:val="6"/>
        <w:tabs>
          <w:tab w:val="right" w:leader="dot" w:pos="9746"/>
        </w:tabs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instrText xml:space="preserve"> HYPERLINK \l _Toc11645 </w:instrText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6.2纯辅屏</w:t>
      </w:r>
      <w:r>
        <w:tab/>
      </w:r>
      <w:r>
        <w:fldChar w:fldCharType="begin"/>
      </w:r>
      <w:r>
        <w:instrText xml:space="preserve"> PAGEREF _Toc11645 </w:instrText>
      </w:r>
      <w:r>
        <w:fldChar w:fldCharType="separate"/>
      </w:r>
      <w:r>
        <w:t>22</w:t>
      </w:r>
      <w:r>
        <w:fldChar w:fldCharType="end"/>
      </w: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ind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sectPr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  <w:r>
        <w:rPr>
          <w:rFonts w:hint="eastAsia" w:ascii="微软雅黑" w:hAnsi="微软雅黑" w:eastAsia="微软雅黑" w:cs="微软雅黑"/>
          <w:bCs w:val="0"/>
          <w:iCs/>
          <w:szCs w:val="52"/>
          <w:lang w:val="en-US" w:eastAsia="zh-CN"/>
        </w:rPr>
        <w:fldChar w:fldCharType="end"/>
      </w:r>
    </w:p>
    <w:p>
      <w:pPr>
        <w:ind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</w:pPr>
    </w:p>
    <w:p>
      <w:pPr>
        <w:ind w:firstLine="0" w:firstLineChars="0"/>
        <w:jc w:val="center"/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</w:rPr>
      </w:pPr>
      <w:r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val="en-US" w:eastAsia="zh-CN"/>
        </w:rPr>
        <w:t>CTS</w:t>
      </w:r>
      <w:r>
        <w:rPr>
          <w:rFonts w:hint="eastAsia" w:ascii="微软雅黑" w:hAnsi="微软雅黑" w:eastAsia="微软雅黑" w:cs="微软雅黑"/>
          <w:b w:val="0"/>
          <w:bCs w:val="0"/>
          <w:iCs/>
          <w:sz w:val="52"/>
          <w:szCs w:val="52"/>
          <w:lang w:eastAsia="zh-CN"/>
        </w:rPr>
        <w:t>中央收费软件</w:t>
      </w:r>
    </w:p>
    <w:p>
      <w:pPr>
        <w:ind w:firstLine="0" w:firstLineChars="0"/>
        <w:jc w:val="center"/>
        <w:rPr>
          <w:rFonts w:hint="eastAsia" w:ascii="微软雅黑" w:hAnsi="微软雅黑" w:eastAsia="微软雅黑" w:cs="微软雅黑"/>
          <w:b w:val="0"/>
          <w:bCs w:val="0"/>
          <w:iCs/>
          <w:sz w:val="48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Cs/>
          <w:sz w:val="48"/>
          <w:szCs w:val="48"/>
          <w:lang w:val="en-US" w:eastAsia="zh-CN"/>
        </w:rPr>
        <w:t>用户手册</w:t>
      </w:r>
    </w:p>
    <w:tbl>
      <w:tblPr>
        <w:tblStyle w:val="9"/>
        <w:tblpPr w:leftFromText="180" w:rightFromText="180" w:vertAnchor="text" w:horzAnchor="page" w:tblpXSpec="center" w:tblpY="416"/>
        <w:tblOverlap w:val="never"/>
        <w:tblW w:w="10120" w:type="dxa"/>
        <w:jc w:val="center"/>
        <w:tblInd w:w="-246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1"/>
        <w:gridCol w:w="1280"/>
        <w:gridCol w:w="1440"/>
        <w:gridCol w:w="846"/>
        <w:gridCol w:w="1803"/>
        <w:gridCol w:w="345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9" w:hRule="atLeast"/>
          <w:jc w:val="center"/>
        </w:trPr>
        <w:tc>
          <w:tcPr>
            <w:tcW w:w="1301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版本号</w:t>
            </w:r>
          </w:p>
        </w:tc>
        <w:tc>
          <w:tcPr>
            <w:tcW w:w="128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拟制人/</w:t>
            </w:r>
          </w:p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修改人</w:t>
            </w:r>
          </w:p>
        </w:tc>
        <w:tc>
          <w:tcPr>
            <w:tcW w:w="144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拟制/</w:t>
            </w:r>
          </w:p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修改日期</w:t>
            </w:r>
          </w:p>
        </w:tc>
        <w:tc>
          <w:tcPr>
            <w:tcW w:w="846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  <w:t>审核</w:t>
            </w:r>
          </w:p>
        </w:tc>
        <w:tc>
          <w:tcPr>
            <w:tcW w:w="1803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tabs>
                <w:tab w:val="left" w:pos="582"/>
              </w:tabs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  <w:t>更改理由</w:t>
            </w:r>
          </w:p>
        </w:tc>
        <w:tc>
          <w:tcPr>
            <w:tcW w:w="3450" w:type="dxa"/>
            <w:tcBorders>
              <w:top w:val="single" w:color="auto" w:sz="12" w:space="0"/>
              <w:bottom w:val="single" w:color="auto" w:sz="4" w:space="0"/>
            </w:tcBorders>
            <w:shd w:val="clear" w:color="auto" w:fill="CCCCCC"/>
            <w:vAlign w:val="center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</w:rPr>
              <w:t>主要更改内容（写要点即可）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9" w:hRule="atLeast"/>
          <w:jc w:val="center"/>
        </w:trPr>
        <w:tc>
          <w:tcPr>
            <w:tcW w:w="1301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V1.0</w:t>
            </w:r>
          </w:p>
        </w:tc>
        <w:tc>
          <w:tcPr>
            <w:tcW w:w="128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杨丰泽</w:t>
            </w:r>
          </w:p>
        </w:tc>
        <w:tc>
          <w:tcPr>
            <w:tcW w:w="14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2017-7-20</w:t>
            </w:r>
          </w:p>
        </w:tc>
        <w:tc>
          <w:tcPr>
            <w:tcW w:w="846" w:type="dxa"/>
            <w:vAlign w:val="center"/>
          </w:tcPr>
          <w:p>
            <w:pPr>
              <w:pStyle w:val="5"/>
              <w:ind w:left="0" w:leftChars="0" w:firstLine="0" w:firstLineChars="0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803" w:type="dxa"/>
            <w:vAlign w:val="center"/>
          </w:tcPr>
          <w:p>
            <w:pPr>
              <w:pStyle w:val="5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无</w:t>
            </w:r>
          </w:p>
        </w:tc>
        <w:tc>
          <w:tcPr>
            <w:tcW w:w="3450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9" w:hRule="atLeast"/>
          <w:jc w:val="center"/>
        </w:trPr>
        <w:tc>
          <w:tcPr>
            <w:tcW w:w="1301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V1.1</w:t>
            </w:r>
          </w:p>
        </w:tc>
        <w:tc>
          <w:tcPr>
            <w:tcW w:w="128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陈钰贤</w:t>
            </w:r>
          </w:p>
        </w:tc>
        <w:tc>
          <w:tcPr>
            <w:tcW w:w="14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2017-08-24</w:t>
            </w:r>
          </w:p>
        </w:tc>
        <w:tc>
          <w:tcPr>
            <w:tcW w:w="846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803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 xml:space="preserve">修改为中性版 </w:t>
            </w:r>
          </w:p>
        </w:tc>
        <w:tc>
          <w:tcPr>
            <w:tcW w:w="3450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更改所有含“艾科”“AKE”的内容及图片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9" w:hRule="atLeast"/>
          <w:jc w:val="center"/>
        </w:trPr>
        <w:tc>
          <w:tcPr>
            <w:tcW w:w="1301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V1.2</w:t>
            </w:r>
          </w:p>
        </w:tc>
        <w:tc>
          <w:tcPr>
            <w:tcW w:w="128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陈钰贤</w:t>
            </w:r>
          </w:p>
        </w:tc>
        <w:tc>
          <w:tcPr>
            <w:tcW w:w="14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2017-11-16</w:t>
            </w:r>
          </w:p>
        </w:tc>
        <w:tc>
          <w:tcPr>
            <w:tcW w:w="846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803" w:type="dxa"/>
            <w:vAlign w:val="center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更新VEMS V2.12的迭代功能点</w:t>
            </w:r>
          </w:p>
        </w:tc>
        <w:tc>
          <w:tcPr>
            <w:tcW w:w="3450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在中央收费系统首页-当班统计中增加次数统计，增加辅屏页面说明</w:t>
            </w:r>
            <w:r>
              <w:rPr>
                <w:rFonts w:hint="eastAsia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9" w:hRule="atLeast"/>
          <w:jc w:val="center"/>
        </w:trPr>
        <w:tc>
          <w:tcPr>
            <w:tcW w:w="1301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V1.3</w:t>
            </w:r>
          </w:p>
        </w:tc>
        <w:tc>
          <w:tcPr>
            <w:tcW w:w="128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陈钰贤</w:t>
            </w:r>
          </w:p>
        </w:tc>
        <w:tc>
          <w:tcPr>
            <w:tcW w:w="14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2017-11-30</w:t>
            </w:r>
          </w:p>
        </w:tc>
        <w:tc>
          <w:tcPr>
            <w:tcW w:w="846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803" w:type="dxa"/>
            <w:vAlign w:val="center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更新VEMS V2.13的迭代功能点</w:t>
            </w:r>
          </w:p>
        </w:tc>
        <w:tc>
          <w:tcPr>
            <w:tcW w:w="3450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更新微信/支付宝被扫、对接ETC的功能模块</w:t>
            </w:r>
            <w:r>
              <w:rPr>
                <w:rFonts w:hint="eastAsia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9" w:hRule="atLeast"/>
          <w:jc w:val="center"/>
        </w:trPr>
        <w:tc>
          <w:tcPr>
            <w:tcW w:w="1301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V1.4</w:t>
            </w:r>
          </w:p>
        </w:tc>
        <w:tc>
          <w:tcPr>
            <w:tcW w:w="128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陈钰贤</w:t>
            </w:r>
          </w:p>
        </w:tc>
        <w:tc>
          <w:tcPr>
            <w:tcW w:w="14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2018-01-29</w:t>
            </w:r>
          </w:p>
        </w:tc>
        <w:tc>
          <w:tcPr>
            <w:tcW w:w="846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803" w:type="dxa"/>
            <w:vAlign w:val="center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更新VEMS V2.14的迭代功能点</w:t>
            </w:r>
          </w:p>
        </w:tc>
        <w:tc>
          <w:tcPr>
            <w:tcW w:w="3450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hAnsi="宋体" w:eastAsia="宋体" w:cs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1</w:t>
            </w:r>
            <w:r>
              <w:rPr>
                <w:rFonts w:hint="eastAsia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.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auto"/>
                <w:sz w:val="18"/>
                <w:szCs w:val="18"/>
                <w:vertAlign w:val="baseline"/>
                <w:lang w:val="en-US" w:eastAsia="zh-CN"/>
              </w:rPr>
              <w:t>新增电子发票模块；</w:t>
            </w:r>
          </w:p>
          <w:p>
            <w:pPr>
              <w:pStyle w:val="5"/>
              <w:ind w:left="0" w:leftChars="0" w:firstLine="0" w:firstLineChars="0"/>
              <w:jc w:val="left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18"/>
                <w:szCs w:val="18"/>
                <w:lang w:val="en-US" w:eastAsia="zh-CN"/>
              </w:rPr>
              <w:t>2.新增打印凭条设置页面。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9" w:hRule="atLeast"/>
          <w:jc w:val="center"/>
        </w:trPr>
        <w:tc>
          <w:tcPr>
            <w:tcW w:w="1301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V1.5</w:t>
            </w:r>
          </w:p>
        </w:tc>
        <w:tc>
          <w:tcPr>
            <w:tcW w:w="128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陈钰贤</w:t>
            </w:r>
          </w:p>
        </w:tc>
        <w:tc>
          <w:tcPr>
            <w:tcW w:w="14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2018-04-03</w:t>
            </w:r>
          </w:p>
        </w:tc>
        <w:tc>
          <w:tcPr>
            <w:tcW w:w="846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803" w:type="dxa"/>
            <w:vAlign w:val="center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更新VEMS V2.15的迭代功能点</w:t>
            </w:r>
          </w:p>
        </w:tc>
        <w:tc>
          <w:tcPr>
            <w:tcW w:w="3450" w:type="dxa"/>
            <w:vAlign w:val="center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 w:hAnsi="宋体" w:eastAsia="宋体" w:cs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18"/>
                <w:szCs w:val="18"/>
                <w:lang w:val="en-US" w:eastAsia="zh-CN"/>
              </w:rPr>
              <w:t>1.增加了中央收费软件收费统计信息的隐藏功能。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9" w:hRule="atLeast"/>
          <w:jc w:val="center"/>
        </w:trPr>
        <w:tc>
          <w:tcPr>
            <w:tcW w:w="1301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V1.6</w:t>
            </w:r>
          </w:p>
        </w:tc>
        <w:tc>
          <w:tcPr>
            <w:tcW w:w="128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陈钰贤</w:t>
            </w:r>
          </w:p>
        </w:tc>
        <w:tc>
          <w:tcPr>
            <w:tcW w:w="1440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2018-05-14</w:t>
            </w:r>
          </w:p>
        </w:tc>
        <w:tc>
          <w:tcPr>
            <w:tcW w:w="846" w:type="dxa"/>
            <w:vAlign w:val="center"/>
          </w:tcPr>
          <w:p>
            <w:pPr>
              <w:pStyle w:val="5"/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</w:p>
        </w:tc>
        <w:tc>
          <w:tcPr>
            <w:tcW w:w="1803" w:type="dxa"/>
            <w:vAlign w:val="center"/>
          </w:tcPr>
          <w:p>
            <w:pPr>
              <w:pStyle w:val="5"/>
              <w:ind w:left="0" w:leftChars="0" w:firstLine="0" w:firstLineChars="0"/>
              <w:jc w:val="left"/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21"/>
                <w:szCs w:val="21"/>
                <w:lang w:val="en-US" w:eastAsia="zh-CN"/>
              </w:rPr>
              <w:t>更新VEMS V2.16 的迭代功能点</w:t>
            </w:r>
          </w:p>
        </w:tc>
        <w:tc>
          <w:tcPr>
            <w:tcW w:w="3450" w:type="dxa"/>
            <w:vAlign w:val="center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hAnsi="宋体" w:eastAsia="宋体" w:cs="宋体"/>
                <w:color w:val="000000"/>
                <w:sz w:val="18"/>
                <w:szCs w:val="18"/>
                <w:lang w:val="en-US" w:eastAsia="zh-CN"/>
              </w:rPr>
            </w:pPr>
            <w:r>
              <w:rPr>
                <w:rFonts w:hint="eastAsia" w:hAnsi="宋体" w:eastAsia="宋体" w:cs="宋体"/>
                <w:color w:val="000000"/>
                <w:sz w:val="18"/>
                <w:szCs w:val="18"/>
                <w:lang w:val="en-US" w:eastAsia="zh-CN"/>
              </w:rPr>
              <w:t>1.</w:t>
            </w:r>
            <w:bookmarkStart w:id="19" w:name="_GoBack"/>
            <w:bookmarkEnd w:id="19"/>
            <w:r>
              <w:rPr>
                <w:rFonts w:hint="eastAsia" w:hAnsi="宋体" w:eastAsia="宋体" w:cs="宋体"/>
                <w:color w:val="000000"/>
                <w:sz w:val="18"/>
                <w:szCs w:val="18"/>
                <w:lang w:val="en-US" w:eastAsia="zh-CN"/>
              </w:rPr>
              <w:t>兼容XP系统的Chrome 41版本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9" w:hRule="atLeast"/>
          <w:jc w:val="center"/>
        </w:trPr>
        <w:tc>
          <w:tcPr>
            <w:tcW w:w="10120" w:type="dxa"/>
            <w:gridSpan w:val="6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5"/>
              <w:ind w:left="0" w:leftChars="0" w:firstLine="0" w:firstLineChars="0"/>
              <w:rPr>
                <w:rFonts w:ascii="Arial" w:hAnsi="Arial" w:cs="Arial"/>
                <w:color w:val="000000"/>
                <w:sz w:val="21"/>
                <w:szCs w:val="21"/>
              </w:rPr>
            </w:pPr>
          </w:p>
          <w:p>
            <w:pPr>
              <w:pStyle w:val="5"/>
              <w:ind w:left="0" w:leftChars="0" w:firstLine="0" w:firstLineChars="0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注1：每次更改归档文件时，需填写此表。</w:t>
            </w:r>
          </w:p>
          <w:p>
            <w:pPr>
              <w:pStyle w:val="5"/>
              <w:ind w:left="0" w:leftChars="0" w:firstLine="0" w:firstLineChars="0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注2：文件第一次归档时，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“</w:t>
            </w:r>
            <w:r>
              <w:rPr>
                <w:rFonts w:ascii="Arial" w:hAnsi="Arial" w:cs="Arial"/>
                <w:bCs/>
                <w:color w:val="000000"/>
                <w:sz w:val="21"/>
                <w:szCs w:val="21"/>
              </w:rPr>
              <w:t>更改理由</w:t>
            </w:r>
            <w:r>
              <w:rPr>
                <w:rFonts w:hint="eastAsia" w:ascii="Arial" w:hAnsi="Arial" w:cs="Arial"/>
                <w:bCs/>
                <w:color w:val="000000"/>
                <w:sz w:val="21"/>
                <w:szCs w:val="21"/>
              </w:rPr>
              <w:t>”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、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“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主要更改内容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”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栏写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“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无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</w:rPr>
              <w:t>”</w:t>
            </w:r>
            <w:r>
              <w:rPr>
                <w:rFonts w:ascii="Arial" w:hAnsi="Arial" w:cs="Arial"/>
                <w:color w:val="000000"/>
                <w:sz w:val="21"/>
                <w:szCs w:val="21"/>
              </w:rPr>
              <w:t>。</w:t>
            </w:r>
          </w:p>
          <w:p>
            <w:pPr>
              <w:pStyle w:val="5"/>
              <w:ind w:left="0" w:leftChars="0" w:firstLine="0" w:firstLineChars="0"/>
              <w:rPr>
                <w:rFonts w:hint="eastAsia" w:ascii="Arial" w:hAnsi="Arial" w:cs="Arial"/>
                <w:color w:val="000000"/>
                <w:sz w:val="18"/>
                <w:szCs w:val="18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21"/>
                <w:szCs w:val="21"/>
                <w:lang w:eastAsia="zh-CN"/>
              </w:rPr>
              <w:t>注</w:t>
            </w:r>
            <w:r>
              <w:rPr>
                <w:rFonts w:hint="eastAsia" w:ascii="Arial" w:hAnsi="Arial" w:cs="Arial"/>
                <w:color w:val="000000"/>
                <w:sz w:val="21"/>
                <w:szCs w:val="21"/>
                <w:lang w:val="en-US" w:eastAsia="zh-CN"/>
              </w:rPr>
              <w:t>3：参考《视频一体式停车场管理系统全流程配置说明》来编写</w:t>
            </w:r>
          </w:p>
        </w:tc>
      </w:tr>
    </w:tbl>
    <w:p>
      <w:pPr>
        <w:ind w:left="0" w:leftChars="0" w:firstLine="420" w:firstLineChars="0"/>
      </w:pPr>
    </w:p>
    <w:p>
      <w:pPr>
        <w:ind w:left="0" w:leftChars="0" w:firstLine="420" w:firstLineChars="0"/>
      </w:pPr>
    </w:p>
    <w:p>
      <w:pPr>
        <w:ind w:left="0" w:leftChars="0" w:firstLine="420" w:firstLineChars="0"/>
      </w:pPr>
    </w:p>
    <w:p/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CTS中央收费软件是服务于VEMS的线下中央收费软件，CTS与VEMS使用的是同个数据库，与VEMS的数据可简单理解为是实时同步的。CTS为同一VEMS上的多个停车场提供了查费、收费功能，还提供了同个运营商下所有欠费车辆的信息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以下将CTS分为收费主界面、用户中心、信息列表、凭条打印设置、更换主题和中央辅屏等六个模块来介绍其主要功能。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 w:val="0"/>
          <w:kern w:val="2"/>
          <w:sz w:val="24"/>
          <w:szCs w:val="24"/>
          <w:lang w:val="en-US" w:eastAsia="zh-CN" w:bidi="ar-SA"/>
        </w:rPr>
        <w:t>CTS不兼容浏览器提示</w:t>
      </w: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：当中央收费软件在不兼容的浏览器下运行时，可能会出现页面打开失败、功能缺失等异常情况，因此建议用户更换以下兼容的浏览器使用。</w:t>
      </w:r>
    </w:p>
    <w:p>
      <w:pPr>
        <w:spacing w:beforeLines="0" w:afterLines="0"/>
        <w:ind w:left="200"/>
        <w:jc w:val="left"/>
        <w:rPr>
          <w:rFonts w:hint="eastAsia" w:ascii="微软雅黑" w:hAnsi="微软雅黑" w:eastAsia="微软雅黑"/>
          <w:color w:val="000000"/>
          <w:sz w:val="24"/>
          <w:lang w:val="zh-CN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>Windows环境： IE10以上 和 Chrome</w:t>
      </w:r>
      <w:r>
        <w:rPr>
          <w:rFonts w:hint="eastAsia" w:ascii="微软雅黑" w:hAnsi="微软雅黑" w:eastAsia="微软雅黑"/>
          <w:color w:val="000000"/>
          <w:sz w:val="24"/>
          <w:lang w:val="en-US" w:eastAsia="zh-CN"/>
        </w:rPr>
        <w:t>41</w:t>
      </w:r>
      <w:r>
        <w:rPr>
          <w:rFonts w:hint="eastAsia" w:ascii="微软雅黑" w:hAnsi="微软雅黑" w:eastAsia="微软雅黑"/>
          <w:color w:val="000000"/>
          <w:sz w:val="24"/>
          <w:lang w:val="zh-CN"/>
        </w:rPr>
        <w:t>及以上</w:t>
      </w:r>
    </w:p>
    <w:p>
      <w:pPr>
        <w:spacing w:beforeLines="0" w:afterLines="0"/>
        <w:ind w:left="200"/>
        <w:jc w:val="left"/>
        <w:rPr>
          <w:rFonts w:hint="eastAsia" w:ascii="微软雅黑" w:hAnsi="微软雅黑" w:eastAsia="微软雅黑"/>
          <w:color w:val="000000"/>
          <w:sz w:val="24"/>
          <w:lang w:val="zh-CN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>Linux环境： Chromium31.0</w:t>
      </w:r>
      <w:r>
        <w:rPr>
          <w:rFonts w:hint="eastAsia" w:ascii="微软雅黑" w:hAnsi="微软雅黑" w:eastAsia="微软雅黑"/>
          <w:color w:val="000000"/>
          <w:sz w:val="24"/>
          <w:lang w:val="en-US" w:eastAsia="zh-CN"/>
        </w:rPr>
        <w:t>以上</w:t>
      </w:r>
    </w:p>
    <w:p>
      <w:pPr>
        <w:spacing w:beforeLines="0" w:afterLines="0"/>
        <w:ind w:left="200"/>
        <w:jc w:val="left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/>
          <w:color w:val="000000"/>
          <w:sz w:val="24"/>
          <w:lang w:val="zh-CN"/>
        </w:rPr>
        <w:t>Ipad环境： Chrome50及以上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6178550" cy="2881630"/>
            <wp:effectExtent l="0" t="0" r="6350" b="127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2881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 xml:space="preserve">   </w:t>
      </w:r>
      <w:bookmarkStart w:id="0" w:name="_Toc26359"/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>一、收费主界面</w:t>
      </w:r>
      <w:bookmarkEnd w:id="0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如下图所示该功能界面包含三大板块，分别为当班统计、车辆列表、收费操作面板。该界面是CTS系统的主操作界面，与车辆收费、在场补录、校正等相关操作都在此面板中集成。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81725" cy="2848610"/>
            <wp:effectExtent l="0" t="0" r="3175" b="8890"/>
            <wp:docPr id="33" name="图片 33" descr="E:\工作夹\AKE\2017\-产品\系统截图\CTS\中央收费.png中央收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E:\工作夹\AKE\2017\-产品\系统截图\CTS\中央收费.png中央收费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pStyle w:val="4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bookmarkStart w:id="1" w:name="_Toc157"/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1.1当班统计</w:t>
      </w:r>
      <w:bookmarkEnd w:id="1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如下图所示，当班统计板块展示当前登录的收费员信息，以及在当班时间内该收费员的具体收费款项情况的系统实时统计。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3509645" cy="1341120"/>
            <wp:effectExtent l="0" t="0" r="8255" b="50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9645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右上角在卡票机入口缺少卡/票时，会显示红色区域并以文字滚动提示。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3676650" cy="1405255"/>
            <wp:effectExtent l="0" t="0" r="6350" b="44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0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点击收费明细按钮跳转到收费明细列表页面，如下图所示，列表展示所有收费流水的详细信息，并提供自定义条件查询功能。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589270" cy="2576195"/>
            <wp:effectExtent l="0" t="0" r="11430" b="1905"/>
            <wp:docPr id="34" name="图片 34" descr="收费明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收费明细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eastAsiaTheme="minorEastAsia"/>
          <w:lang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如果不想展示收费员当班统计信息，可在停车场配置中设置隐藏收费统计信息。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6181725" cy="2849245"/>
            <wp:effectExtent l="0" t="0" r="3175" b="825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eastAsiaTheme="minorEastAsia"/>
          <w:lang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设置隐藏收费统计信息后，在中央收费系统里面将不会显示收费统计信息。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6181725" cy="2849245"/>
            <wp:effectExtent l="0" t="0" r="3175" b="825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黑体" w:hAnsi="黑体" w:eastAsia="黑体" w:cs="黑体"/>
          <w:b/>
          <w:sz w:val="30"/>
          <w:szCs w:val="30"/>
          <w:lang w:val="en-US" w:eastAsia="zh-CN"/>
        </w:rPr>
      </w:pPr>
      <w:bookmarkStart w:id="2" w:name="_Toc8430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1.2车辆列表</w:t>
      </w:r>
      <w:bookmarkEnd w:id="2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如下图所示，车辆列表模块中记录的是所有在场车辆的信息，切换tab栏可查看未识别车辆、无牌车、遮挡车、排队车辆和自助开闸车辆，收费员可直接选中列表中的车辆，右侧收费操作面板将计算显示收费金额。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3940810" cy="2601595"/>
            <wp:effectExtent l="0" t="0" r="8890" b="1905"/>
            <wp:docPr id="35" name="图片 35" descr="车辆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车辆列表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车主自助开闸的情况下，车主扫码出场未能匹配进场信息时，收费员可根据车主提供的随机码搜索车辆列表。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3869690" cy="2841625"/>
            <wp:effectExtent l="0" t="0" r="381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9690" cy="284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当车车主交费，收费员没有查询到对应的在场车辆信息时，可点击补录按钮，弹窗如下图所示，进行车辆进场信息的补录。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3816350" cy="2178050"/>
            <wp:effectExtent l="0" t="0" r="6350" b="6350"/>
            <wp:docPr id="36" name="图片 36" descr="补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补录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bookmarkStart w:id="3" w:name="_Toc20830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1.3收费操作面板</w:t>
      </w:r>
      <w:bookmarkEnd w:id="3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如下图所示，该板块主要集成收费车辆的相关信息，计费金额信息，以及查询、校正、优惠配置等操作。该板块是收费员的主要操作区域。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53635" cy="3312795"/>
            <wp:effectExtent l="0" t="0" r="12065" b="1905"/>
            <wp:docPr id="37" name="图片 37" descr="E:\工作夹\AKE\2017\-产品\系统截图\CTS\收费操作面板.png收费操作面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E:\工作夹\AKE\2017\-产品\系统截图\CTS\收费操作面板.png收费操作面板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textAlignment w:val="auto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在车辆列表中选中的在场车辆暂未产生费用时，收费操作面板中显示的是预收费按钮，如下图：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4777740" cy="829945"/>
            <wp:effectExtent l="9525" t="9525" r="13335" b="1143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8299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在车辆列表中选中的在场车辆已产生应收费用时，收费操作面板中显示的是收费按钮，如下图：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4799965" cy="899160"/>
            <wp:effectExtent l="9525" t="9525" r="16510" b="1841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8991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在车辆列表中选中的在场车辆已产生应收费用并已交足费用时，收费操作面板中显示的是收费按钮，且按钮置灰不可再次收费。如下图：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4820920" cy="864870"/>
            <wp:effectExtent l="9525" t="9525" r="20955" b="1460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8648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当支持扫描用户微信或支付宝付款二维码收费时，收费方式将显示现金、微信和支付宝三种方式，收费员可根据实际情况进行选择。如下图：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5628640" cy="480695"/>
            <wp:effectExtent l="0" t="0" r="10160" b="190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48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选择微信或支付宝收费时，收费操作面板显示“收费”和“已缴费待确认”两个按钮。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当扫码枪扫描用户付款二维码发起支付请求，扣费成功时将显示扣费成功，扣费失败将显示扣费失败，如果用户端显示已成功扣费，则收费员可以点击已缴费待确认，默认用户缴费成功，并在VEMS系统出场记录和收费流水中对此条记录进行标记。如果无法扣费成功，用户采用现金支付，则收费员点击收费按钮默认为现金支付成功。如下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5673725" cy="494030"/>
            <wp:effectExtent l="0" t="0" r="3175" b="127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494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收费成功后可点击打印凭条按钮打印当前收费凭条，如下图：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</w:pPr>
      <w:r>
        <w:drawing>
          <wp:inline distT="0" distB="0" distL="114300" distR="114300">
            <wp:extent cx="2958465" cy="504825"/>
            <wp:effectExtent l="9525" t="9525" r="16510" b="1905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5048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收费员可在搜索区域查询对应在场车辆信息，勾选软件盘，则系统提供点选软件盘输入方式。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4518025" cy="401320"/>
            <wp:effectExtent l="9525" t="9525" r="19050" b="2095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8025" cy="4013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点击校正按钮弹窗如下图所示，可对当前选中车辆信息的车牌进行人工手动校正，勾选软件盘，则系统提供点选软件盘输入方式。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2447925" cy="2233295"/>
            <wp:effectExtent l="9525" t="9525" r="19050" b="1778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2332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 xml:space="preserve">   </w:t>
      </w:r>
      <w:bookmarkStart w:id="4" w:name="_Toc16471"/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>二、用户中心</w:t>
      </w:r>
      <w:bookmarkEnd w:id="4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点击系统窗口右上角的用户图标弹出菜单浮窗，如下图所示，子选项包含启用/停用通道、修改密码、交接班、下班。可对上述各项进行详细配置。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81725" cy="2849245"/>
            <wp:effectExtent l="0" t="0" r="3175" b="8255"/>
            <wp:docPr id="40" name="图片 40" descr="个人中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个人中心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" w:name="_Toc5440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2.1启用/停用通道</w:t>
      </w:r>
      <w:bookmarkEnd w:id="5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如下图所示，点击该功能按钮弹窗如下图所示，显示当前登录收费员拥有收费权限的所有通道口，可自由启用/停用各通道。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停用通道后，该通道不会再次显示在列表中，若要恢复显示需在VEMS后台中重新启用该通道。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2753360" cy="1539240"/>
            <wp:effectExtent l="0" t="0" r="2540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153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6" w:name="_Toc2295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2.2修改密码</w:t>
      </w:r>
      <w:bookmarkEnd w:id="6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如下图所示，点击该功能按钮弹窗如下图所示，可修改当前登录账户的原有密码。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3886200" cy="1935480"/>
            <wp:effectExtent l="9525" t="9525" r="9525" b="1714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354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</w:p>
    <w:p>
      <w:pPr>
        <w:pStyle w:val="4"/>
        <w:rPr>
          <w:rFonts w:hint="eastAsia"/>
          <w:lang w:val="en-US" w:eastAsia="zh-CN"/>
        </w:rPr>
      </w:pPr>
      <w:bookmarkStart w:id="7" w:name="_Toc3761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2.3交接班</w:t>
      </w:r>
      <w:bookmarkEnd w:id="7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如下图所示，点击该功能按钮弹窗如下图所示，可指定交班人账户，且输入登录密码后可完成交班操作。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3277870" cy="2089785"/>
            <wp:effectExtent l="9525" t="9525" r="27305" b="1524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20897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textAlignment w:val="auto"/>
      </w:pPr>
    </w:p>
    <w:p>
      <w:pPr>
        <w:pStyle w:val="4"/>
        <w:rPr>
          <w:rFonts w:hint="eastAsia"/>
          <w:lang w:val="en-US" w:eastAsia="zh-CN"/>
        </w:rPr>
      </w:pPr>
      <w:bookmarkStart w:id="8" w:name="_Toc29270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2.4下班</w:t>
      </w:r>
      <w:bookmarkEnd w:id="8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如下图所示，点击该功能按钮弹窗如下图所示，可输入当前登录收费员账户密码，执行确认操作后完成下班流程。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3381375" cy="1888490"/>
            <wp:effectExtent l="9525" t="9525" r="19050" b="2603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8884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 xml:space="preserve">   </w:t>
      </w:r>
      <w:bookmarkStart w:id="9" w:name="_Toc25246"/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>三、信息列表</w:t>
      </w:r>
      <w:bookmarkEnd w:id="9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点击系统窗口右上角的集合菜单图标弹出菜单浮窗，如下图所示，子选项包含VIP车辆、欠费车辆。上述各项信息列表提供查询关键词查询功能。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76525" cy="1590675"/>
            <wp:effectExtent l="9525" t="9525" r="19050" b="19050"/>
            <wp:docPr id="26" name="图片 26" descr="集合菜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集合菜单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590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pStyle w:val="4"/>
      </w:pPr>
      <w:bookmarkStart w:id="10" w:name="_Toc4876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3.1 VIP车辆</w:t>
      </w:r>
      <w:bookmarkEnd w:id="10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如下图所示，在集合菜单点击VIP车辆，跳转到如下图所示列表，可查询管理后台记录的所有VIP车辆信息。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VIP车辆列表包含车牌号、车主姓名、总车位、剩余车位、VIP别称、结算类型、剩余值、VIP状态、有效期开始时间、有效期结束时间、公私车、公司名称、部门名称、地址、备注一二三等字段。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81725" cy="2849245"/>
            <wp:effectExtent l="0" t="0" r="3175" b="8255"/>
            <wp:docPr id="41" name="图片 41" descr="VIP车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VIP车辆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1" w:name="_Toc17691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3.2欠费车辆</w:t>
      </w:r>
      <w:bookmarkEnd w:id="11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如下图所示，在集合菜单点击欠费车辆，跳转到如下图所示列表，可查询管理后台记录的所有欠费车辆信息，同时提供欠费补交操作。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欠费车辆列表包含车牌号、卡号、停车费用、已优惠金额、已缴金额、当前优惠、当前欠费、补缴金额、是否已补缴、是否取消欠费、收费员、补缴时间、停车时长、停车场名称、进场时间、进场车牌图片、出场时间和出场车牌图片等字段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81725" cy="2849245"/>
            <wp:effectExtent l="0" t="0" r="3175" b="8255"/>
            <wp:docPr id="42" name="图片 42" descr="欠费车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欠费车辆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勾选需要补缴的记录，点击“欠费补交”按钮，弹出补缴确认弹窗。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22700" cy="1822450"/>
            <wp:effectExtent l="0" t="0" r="0" b="6350"/>
            <wp:docPr id="43" name="图片 43" descr="欠费补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欠费补交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确认欠费补缴成功后，将弹出补缴成功的提示，并提供了打印补缴凭条的入口。用户可以选择打印补缴凭条 ，也可以点击取消放弃打印补缴凭条。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eastAsiaTheme="minorEastAsia"/>
          <w:lang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需要注意的是：补缴成功的弹窗是欠费补缴打印凭条的唯一入口，仅可针对补缴操作进行打印凭条的操作；补缴成功后将不再提供针对补缴记录的打印凭条功能。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16250" cy="971550"/>
            <wp:effectExtent l="0" t="0" r="6350" b="6350"/>
            <wp:docPr id="8" name="图片 8" descr="欠费补缴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欠费补缴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 xml:space="preserve">   </w:t>
      </w:r>
      <w:bookmarkStart w:id="12" w:name="_Toc20312"/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>四、凭条打印设置</w:t>
      </w:r>
      <w:bookmarkEnd w:id="12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点击系统窗口右上角的设置图标，弹出缴费凭条打印和补缴凭条打印的设置页面。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4648200" cy="109220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</w:p>
    <w:p>
      <w:pPr>
        <w:pStyle w:val="4"/>
        <w:rPr>
          <w:rFonts w:hint="eastAsia"/>
          <w:lang w:val="en-US" w:eastAsia="zh-CN"/>
        </w:rPr>
      </w:pPr>
      <w:bookmarkStart w:id="13" w:name="_Toc20502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4.1缴费凭条打印</w:t>
      </w:r>
      <w:bookmarkEnd w:id="13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缴费凭条打印分为打印方式设置、电子发票二维码状态开关设置及打印格式设置。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83025" cy="4832985"/>
            <wp:effectExtent l="0" t="0" r="3175" b="5715"/>
            <wp:docPr id="10" name="图片 10" descr="缴费凭条打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缴费凭条打印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3025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打印方式设置：自动打印，即收费成功后系统自动打印缴费凭条；手动打印，即收费成功后，收费员点击“打印凭条”按钮打印缴费凭条；关闭，即关闭打印缴费凭条的入口，不支持缴费凭条的打印。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电子发票二维码状态：开启时，打印缴费凭条时将打印电子发票的二维码，车主扫描二维码即可进入一点停开具电子发票页面，进行开具发票的操作。关闭时，仅打印缴费凭条，不打印电子发票二维码。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打印格式设置：点击”编辑“，可编辑凭条打印的字段、收费说明以及电子发票二维码说明。点击”预览“，可预览凭条打印出来的效果。点击”打印测试“按钮，可直接打印当前设置的凭条样式。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2966720" cy="2774315"/>
            <wp:effectExtent l="0" t="0" r="5080" b="698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4" w:name="_Toc11624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4.2补缴凭条打印</w:t>
      </w:r>
      <w:bookmarkEnd w:id="14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补缴凭条打印与缴费凭条打印基本一致，也分为打印方式设置、电子发票二维码状态开关设置及打印格式设置。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设置内容和设置方式也与缴费凭条打印一致，可参照4.1缴费凭条打印的说明进行设置。</w:t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3361055" cy="4601845"/>
            <wp:effectExtent l="0" t="0" r="4445" b="8255"/>
            <wp:docPr id="18" name="图片 18" descr="补缴凭条打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补缴凭条打印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1055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center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 xml:space="preserve">   </w:t>
      </w:r>
      <w:bookmarkStart w:id="15" w:name="_Toc31999"/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>五、更换主题</w:t>
      </w:r>
      <w:bookmarkEnd w:id="15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/>
          <w:lang w:eastAsia="zh-CN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点击系统窗口右上角的主题图标，弹出支持的主题样式，可更换系统的主题样式。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  <w:r>
        <w:drawing>
          <wp:inline distT="0" distB="0" distL="114300" distR="114300">
            <wp:extent cx="3733800" cy="1543050"/>
            <wp:effectExtent l="0" t="0" r="0" b="635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  <w:rPr>
          <w:rFonts w:hint="eastAsia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0"/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</w:pPr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 xml:space="preserve">   </w:t>
      </w:r>
      <w:bookmarkStart w:id="16" w:name="_Toc1284"/>
      <w:r>
        <w:rPr>
          <w:rFonts w:hint="eastAsia" w:ascii="黑体" w:hAnsi="黑体" w:eastAsia="黑体" w:cs="黑体"/>
          <w:b/>
          <w:bCs w:val="0"/>
          <w:kern w:val="2"/>
          <w:sz w:val="32"/>
          <w:szCs w:val="32"/>
          <w:lang w:val="en-US" w:eastAsia="zh-CN" w:bidi="ar-SA"/>
        </w:rPr>
        <w:t>六、中央辅屏</w:t>
      </w:r>
      <w:bookmarkEnd w:id="16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中央辅屏系统是配合中央收费系统使用的面向车主用户的系统，与中央收费系统相连通，面向用户展示停车收费及优惠详情。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当前中央辅屏有两个模式——软键盘辅屏和纯辅屏</w:t>
      </w:r>
    </w:p>
    <w:p>
      <w:pPr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3986530" cy="2409825"/>
            <wp:effectExtent l="0" t="0" r="1270" b="3175"/>
            <wp:docPr id="6" name="图片 6" descr="辅屏登录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辅屏登录界面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653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bookmarkStart w:id="17" w:name="_Toc16454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6.1软键盘辅屏</w:t>
      </w:r>
      <w:bookmarkEnd w:id="17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车主用户可在软键盘辅屏界面查询自己的车辆停车信息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378450" cy="2489200"/>
            <wp:effectExtent l="0" t="0" r="6350" b="0"/>
            <wp:docPr id="22" name="图片 22" descr="软键盘辅屏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软键盘辅屏主页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车主用户在辅屏界面输入车牌号码查询停车信息，确认停车费用后，中央收费系统将在排队车辆中对该车辆进行收费操作。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89550" cy="2419985"/>
            <wp:effectExtent l="0" t="0" r="6350" b="5715"/>
            <wp:docPr id="2" name="图片 2" descr="查询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查询页面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95900" cy="2443480"/>
            <wp:effectExtent l="0" t="0" r="0" b="7620"/>
            <wp:docPr id="25" name="图片 25" descr="中央收费排队车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中央收费排队车辆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收费成功后，辅屏界面将返回支付成功信息。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628005" cy="2590800"/>
            <wp:effectExtent l="0" t="0" r="10795" b="0"/>
            <wp:docPr id="29" name="图片 29" descr="辅屏显示收费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辅屏显示收费成功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2800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"/>
        <w:rPr>
          <w:rFonts w:hint="eastAsia" w:ascii="微软雅黑" w:hAnsi="微软雅黑" w:eastAsia="微软雅黑" w:cs="微软雅黑"/>
          <w:lang w:val="en-US" w:eastAsia="zh-CN"/>
        </w:rPr>
      </w:pPr>
      <w:bookmarkStart w:id="18" w:name="_Toc11645"/>
      <w:r>
        <w:rPr>
          <w:rFonts w:hint="eastAsia" w:ascii="黑体" w:hAnsi="黑体" w:eastAsia="黑体" w:cs="黑体"/>
          <w:b/>
          <w:sz w:val="30"/>
          <w:szCs w:val="30"/>
          <w:lang w:val="en-US" w:eastAsia="zh-CN"/>
        </w:rPr>
        <w:t>6.2纯辅屏</w:t>
      </w:r>
      <w:bookmarkEnd w:id="18"/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纯辅屏相对于软键盘辅屏，只对车主用户提供一个展示功能，首页是一张停车场配置的大图，可显示该停车场最近的活动信息。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441825" cy="2049145"/>
            <wp:effectExtent l="0" t="0" r="3175" b="8255"/>
            <wp:docPr id="30" name="图片 30" descr="纯辅屏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纯辅屏主界面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4182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中央收费系统查询用户费用后，将在纯辅屏界面对用户展示费用详情，用户可直接扫描车场二维码进行支付。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722495" cy="2173605"/>
            <wp:effectExtent l="0" t="0" r="1905" b="10795"/>
            <wp:docPr id="31" name="图片 31" descr="纯辅屏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纯辅屏界面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2249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/>
          <w:kern w:val="2"/>
          <w:sz w:val="24"/>
          <w:szCs w:val="24"/>
          <w:lang w:val="en-US" w:eastAsia="zh-CN" w:bidi="ar-SA"/>
        </w:rPr>
        <w:t>用户支付成功后，纯辅屏界面返回收费成功页面。</w:t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4798695" cy="2201545"/>
            <wp:effectExtent l="0" t="0" r="1905" b="8255"/>
            <wp:docPr id="32" name="图片 32" descr="纯辅屏支付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纯辅屏支付成功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9869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center"/>
        <w:textAlignment w:val="auto"/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0C7725"/>
    <w:rsid w:val="00107882"/>
    <w:rsid w:val="005C7057"/>
    <w:rsid w:val="00C63A52"/>
    <w:rsid w:val="010F2FE5"/>
    <w:rsid w:val="01104BA3"/>
    <w:rsid w:val="011F6115"/>
    <w:rsid w:val="014D6428"/>
    <w:rsid w:val="02464A72"/>
    <w:rsid w:val="035426A1"/>
    <w:rsid w:val="067014ED"/>
    <w:rsid w:val="06E376E3"/>
    <w:rsid w:val="076275B0"/>
    <w:rsid w:val="07A87C00"/>
    <w:rsid w:val="08121D77"/>
    <w:rsid w:val="0AF84077"/>
    <w:rsid w:val="11E00E38"/>
    <w:rsid w:val="12FD315E"/>
    <w:rsid w:val="13084E84"/>
    <w:rsid w:val="136D7FFD"/>
    <w:rsid w:val="139319F5"/>
    <w:rsid w:val="141D6497"/>
    <w:rsid w:val="16314523"/>
    <w:rsid w:val="163E52BC"/>
    <w:rsid w:val="16A94676"/>
    <w:rsid w:val="18310407"/>
    <w:rsid w:val="18A6056F"/>
    <w:rsid w:val="18A920FD"/>
    <w:rsid w:val="18C33656"/>
    <w:rsid w:val="19DC6CD5"/>
    <w:rsid w:val="19FE1EA6"/>
    <w:rsid w:val="1B780635"/>
    <w:rsid w:val="1CE15ACB"/>
    <w:rsid w:val="1D295592"/>
    <w:rsid w:val="1E4C4C98"/>
    <w:rsid w:val="202E5084"/>
    <w:rsid w:val="23A2514A"/>
    <w:rsid w:val="23F11E4C"/>
    <w:rsid w:val="256366EA"/>
    <w:rsid w:val="27A950A7"/>
    <w:rsid w:val="27BD27D5"/>
    <w:rsid w:val="287D73F5"/>
    <w:rsid w:val="29A80A98"/>
    <w:rsid w:val="2A515BC4"/>
    <w:rsid w:val="2A607CE7"/>
    <w:rsid w:val="2BB44B1F"/>
    <w:rsid w:val="2C6C1930"/>
    <w:rsid w:val="2DC41DB6"/>
    <w:rsid w:val="32247EF4"/>
    <w:rsid w:val="3309429F"/>
    <w:rsid w:val="34564A51"/>
    <w:rsid w:val="39604C6D"/>
    <w:rsid w:val="39E82526"/>
    <w:rsid w:val="3A2200CA"/>
    <w:rsid w:val="3BB9478B"/>
    <w:rsid w:val="3C2D0C3B"/>
    <w:rsid w:val="3D671E4B"/>
    <w:rsid w:val="3DC8784D"/>
    <w:rsid w:val="3F5370A7"/>
    <w:rsid w:val="3F61211E"/>
    <w:rsid w:val="3FAC2537"/>
    <w:rsid w:val="3FD533DE"/>
    <w:rsid w:val="40192897"/>
    <w:rsid w:val="40283143"/>
    <w:rsid w:val="40505D1A"/>
    <w:rsid w:val="40FC54F9"/>
    <w:rsid w:val="41314384"/>
    <w:rsid w:val="45FD5A16"/>
    <w:rsid w:val="4772291A"/>
    <w:rsid w:val="48987D6A"/>
    <w:rsid w:val="4918397B"/>
    <w:rsid w:val="4924160D"/>
    <w:rsid w:val="49BC26D7"/>
    <w:rsid w:val="4A084098"/>
    <w:rsid w:val="4A9B2006"/>
    <w:rsid w:val="4B060B9A"/>
    <w:rsid w:val="4DBA5904"/>
    <w:rsid w:val="4E2146B8"/>
    <w:rsid w:val="4FCF0D79"/>
    <w:rsid w:val="52036440"/>
    <w:rsid w:val="542B2273"/>
    <w:rsid w:val="54A17B5C"/>
    <w:rsid w:val="54B05035"/>
    <w:rsid w:val="5592118F"/>
    <w:rsid w:val="5835700D"/>
    <w:rsid w:val="5A1A53A2"/>
    <w:rsid w:val="5A977A2C"/>
    <w:rsid w:val="5B0D6AF3"/>
    <w:rsid w:val="5E1D4B81"/>
    <w:rsid w:val="5E5F5AE0"/>
    <w:rsid w:val="5F8B0389"/>
    <w:rsid w:val="61ED7468"/>
    <w:rsid w:val="62730F85"/>
    <w:rsid w:val="63F33909"/>
    <w:rsid w:val="6424302D"/>
    <w:rsid w:val="643D7F29"/>
    <w:rsid w:val="69712E25"/>
    <w:rsid w:val="6AD4735D"/>
    <w:rsid w:val="6B122547"/>
    <w:rsid w:val="6D4879AF"/>
    <w:rsid w:val="6DB0343A"/>
    <w:rsid w:val="6FA909C7"/>
    <w:rsid w:val="7239591D"/>
    <w:rsid w:val="729E0917"/>
    <w:rsid w:val="72D53C29"/>
    <w:rsid w:val="740A3369"/>
    <w:rsid w:val="743864D8"/>
    <w:rsid w:val="746F2EB7"/>
    <w:rsid w:val="75D4245B"/>
    <w:rsid w:val="766D1530"/>
    <w:rsid w:val="772F0D98"/>
    <w:rsid w:val="777230B9"/>
    <w:rsid w:val="785D43C5"/>
    <w:rsid w:val="795B48DA"/>
    <w:rsid w:val="79823418"/>
    <w:rsid w:val="7B3C263A"/>
    <w:rsid w:val="7B6B1B8A"/>
    <w:rsid w:val="7B946CDF"/>
    <w:rsid w:val="7BB82443"/>
    <w:rsid w:val="7C2416B1"/>
    <w:rsid w:val="7E3B56D4"/>
    <w:rsid w:val="7EAF2173"/>
    <w:rsid w:val="7F971EE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480" w:firstLineChars="200"/>
      <w:jc w:val="both"/>
    </w:pPr>
    <w:rPr>
      <w:rFonts w:ascii="宋体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Indent"/>
    <w:basedOn w:val="1"/>
    <w:qFormat/>
    <w:uiPriority w:val="0"/>
    <w:pPr>
      <w:ind w:firstLine="420"/>
    </w:p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toc 1"/>
    <w:basedOn w:val="1"/>
    <w:next w:val="1"/>
    <w:qFormat/>
    <w:uiPriority w:val="0"/>
  </w:style>
  <w:style w:type="character" w:customStyle="1" w:styleId="10">
    <w:name w:val="标题 1 Char"/>
    <w:link w:val="2"/>
    <w:qFormat/>
    <w:uiPriority w:val="0"/>
    <w:rPr>
      <w:b/>
      <w:kern w:val="44"/>
      <w:sz w:val="44"/>
    </w:rPr>
  </w:style>
  <w:style w:type="character" w:customStyle="1" w:styleId="11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2017-07-19T09:44:00Z</dcterms:created>
  <dc:creator>admin</dc:creator>
  <cp:lastModifiedBy>北北</cp:lastModifiedBy>
  <dcterms:modified xsi:type="dcterms:W3CDTF">2018-05-14T07:30:03Z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