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506730</wp:posOffset>
                </wp:positionV>
                <wp:extent cx="0" cy="2347595"/>
                <wp:effectExtent l="13970" t="13970" r="24130" b="196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2301240"/>
                          <a:ext cx="0" cy="23475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2E75B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39.9pt;height:184.85pt;width:0pt;z-index:251662336;mso-width-relative:page;mso-height-relative:page;" filled="f" stroked="t" coordsize="21600,21600" o:gfxdata="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2Hi421gAAAAgBAAAPAAAAAAAAAAEAIAAAACIAAABkcnMvZG93bnJldi54bWxQ&#10;SwECFAAUAAAACACHTuJAN++nFfkBAADDAwAADgAAAAAAAAABACAAAAAlAQAAZHJzL2Uyb0RvYy54&#10;bWxQSwUGAAAAAAYABgBZAQAAkAUAAAAA&#10;">
                <v:fill on="f" focussize="0,0"/>
                <v:stroke weight="2.25pt" color="#2E75B5 [3204]" miterlimit="8" joinstyle="miter" endcap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0" w:firstLineChars="0"/>
        <w:jc w:val="both"/>
        <w:rPr>
          <w:rFonts w:hint="eastAsia"/>
          <w:b/>
          <w:bCs/>
          <w:iCs/>
          <w:color w:val="2E75B6" w:themeColor="accent1" w:themeShade="BF"/>
          <w:sz w:val="52"/>
          <w:szCs w:val="52"/>
          <w:lang w:val="en-US" w:eastAsia="zh-CN"/>
        </w:rPr>
      </w:pPr>
      <w:r>
        <w:rPr>
          <w:rFonts w:hint="eastAsia"/>
          <w:b/>
          <w:bCs/>
          <w:iCs/>
          <w:color w:val="2E75B6" w:themeColor="accent1" w:themeShade="BF"/>
          <w:sz w:val="84"/>
          <w:szCs w:val="84"/>
          <w:lang w:val="en-US" w:eastAsia="zh-CN"/>
        </w:rPr>
        <w:t xml:space="preserve"> SBTA</w:t>
      </w:r>
      <w:r>
        <w:rPr>
          <w:rFonts w:hint="eastAsia"/>
          <w:b/>
          <w:bCs/>
          <w:iCs/>
          <w:color w:val="2E75B6" w:themeColor="accent1" w:themeShade="BF"/>
          <w:sz w:val="72"/>
          <w:szCs w:val="72"/>
          <w:lang w:val="en-US" w:eastAsia="zh-CN"/>
        </w:rPr>
        <w:t xml:space="preserve"> </w:t>
      </w:r>
      <w:r>
        <w:rPr>
          <w:rFonts w:hint="eastAsia"/>
          <w:b/>
          <w:bCs/>
          <w:i/>
          <w:iCs w:val="0"/>
          <w:color w:val="2E75B6" w:themeColor="accent1" w:themeShade="BF"/>
          <w:sz w:val="52"/>
          <w:szCs w:val="52"/>
          <w:lang w:val="en-US" w:eastAsia="zh-CN"/>
        </w:rPr>
        <w:t>—</w:t>
      </w:r>
      <w:r>
        <w:rPr>
          <w:rFonts w:hint="eastAsia"/>
          <w:b/>
          <w:bCs/>
          <w:i/>
          <w:iCs w:val="0"/>
          <w:color w:val="2E75B6" w:themeColor="accent1" w:themeShade="BF"/>
          <w:sz w:val="44"/>
          <w:szCs w:val="44"/>
          <w:lang w:val="en-US" w:eastAsia="zh-CN"/>
        </w:rPr>
        <w:t>岗亭收费Android APP</w:t>
      </w: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iCs/>
          <w:color w:val="2E75B6" w:themeColor="accent1" w:themeShade="BF"/>
          <w:sz w:val="84"/>
          <w:szCs w:val="84"/>
          <w:lang w:val="en-US" w:eastAsia="zh-CN"/>
        </w:rPr>
        <w:t xml:space="preserve"> 用户手册</w:t>
      </w:r>
    </w:p>
    <w:p>
      <w:pPr>
        <w:ind w:firstLine="420" w:firstLineChars="0"/>
        <w:jc w:val="both"/>
        <w:rPr>
          <w:rFonts w:hint="eastAsia" w:eastAsiaTheme="minorEastAsia"/>
          <w:b/>
          <w:bCs/>
          <w:i/>
          <w:iCs w:val="0"/>
          <w:sz w:val="52"/>
          <w:szCs w:val="52"/>
          <w:lang w:eastAsia="zh-CN"/>
        </w:rPr>
      </w:pPr>
      <w:r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  <w:t>专注静态交通，用智慧解决停车难题</w:t>
      </w:r>
    </w:p>
    <w:p>
      <w:pPr>
        <w:ind w:firstLine="0" w:firstLineChars="0"/>
        <w:jc w:val="both"/>
        <w:rPr>
          <w:rFonts w:hint="eastAsia"/>
          <w:b/>
          <w:bCs/>
          <w:i/>
          <w:iCs w:val="0"/>
          <w:sz w:val="52"/>
          <w:szCs w:val="52"/>
        </w:rPr>
      </w:pPr>
    </w:p>
    <w:p>
      <w:pPr>
        <w:ind w:firstLine="42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  <w:t>SBTA岗亭收费Android APP</w:t>
      </w: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  <w:t>用户手册</w:t>
      </w:r>
    </w:p>
    <w:tbl>
      <w:tblPr>
        <w:tblStyle w:val="22"/>
        <w:tblpPr w:leftFromText="180" w:rightFromText="180" w:vertAnchor="text" w:horzAnchor="page" w:tblpX="1780" w:tblpY="416"/>
        <w:tblOverlap w:val="never"/>
        <w:tblW w:w="89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566"/>
        <w:gridCol w:w="1410"/>
        <w:gridCol w:w="1032"/>
        <w:gridCol w:w="1560"/>
        <w:gridCol w:w="21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1254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拟制人/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14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拟制/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1032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审核</w:t>
            </w:r>
          </w:p>
        </w:tc>
        <w:tc>
          <w:tcPr>
            <w:tcW w:w="156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更改理由</w:t>
            </w:r>
          </w:p>
        </w:tc>
        <w:tc>
          <w:tcPr>
            <w:tcW w:w="2152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主要更改内容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54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566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杨丰泽</w:t>
            </w:r>
          </w:p>
        </w:tc>
        <w:tc>
          <w:tcPr>
            <w:tcW w:w="141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2017-7-20</w:t>
            </w: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215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4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1566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陈钰贤</w:t>
            </w:r>
          </w:p>
        </w:tc>
        <w:tc>
          <w:tcPr>
            <w:tcW w:w="141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2017-08-24</w:t>
            </w: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修改为中性版 </w:t>
            </w:r>
          </w:p>
        </w:tc>
        <w:tc>
          <w:tcPr>
            <w:tcW w:w="2152" w:type="dxa"/>
            <w:vAlign w:val="center"/>
          </w:tcPr>
          <w:p>
            <w:pPr>
              <w:pStyle w:val="1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更改所有含“艾科”“AKE”的内容及图片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54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566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pStyle w:val="12"/>
              <w:ind w:firstLine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pStyle w:val="12"/>
              <w:ind w:left="0" w:leftChars="0" w:firstLine="0" w:firstLineChars="0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  <w:tc>
          <w:tcPr>
            <w:tcW w:w="2152" w:type="dxa"/>
            <w:vAlign w:val="center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8974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注1：每次更改归档文件时，需填写此表。</w:t>
            </w:r>
          </w:p>
          <w:p>
            <w:pPr>
              <w:pStyle w:val="1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注2：文件第一次归档时，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更改理由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主要更改内容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栏写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无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>
            <w:pPr>
              <w:pStyle w:val="12"/>
              <w:ind w:left="0" w:leftChars="0" w:firstLine="0" w:firstLineChars="0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1"/>
                <w:szCs w:val="21"/>
                <w:lang w:eastAsia="zh-CN"/>
              </w:rPr>
              <w:t>注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  <w:lang w:val="en-US" w:eastAsia="zh-CN"/>
              </w:rPr>
              <w:t>3：参考《视频一体式停车场管理系统全流程配置说明》来编写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ind w:firstLine="0" w:firstLineChars="0"/>
        <w:jc w:val="center"/>
        <w:rPr>
          <w:rFonts w:hint="eastAsia"/>
          <w:b/>
          <w:bCs/>
          <w:i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0" w:name="_Toc9299"/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一、收费主页面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登录APP进入收费主页面，如下图所示，点击切换通道下拉菜单，可在该车场不同出口通道监控页面间切换。此时收费员模块暂时无效。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8585" cy="2154555"/>
            <wp:effectExtent l="0" t="0" r="12065" b="17145"/>
            <wp:docPr id="9" name="图片 9" descr="57471918504050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747191850405077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当出口通道识别出车辆信息时，该操作页面会跟岗亭收费操作系统页面同步，正常匹配到在场记录的车辆识别，页面显示如下图所示。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471930" cy="2618740"/>
            <wp:effectExtent l="0" t="0" r="13970" b="10160"/>
            <wp:docPr id="4" name="图片 4" descr="Screenshot_2017-07-20-17-46-24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-07-20-17-46-24_com.ydt.g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点击付费放行按钮，岗亭闸口抬杆放行，等同于岗亭页面付费放行操作。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 xml:space="preserve"> 当出口通道识别车辆没有匹配到在场记录时，页面显示如下图所示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31645" cy="3082925"/>
            <wp:effectExtent l="0" t="0" r="1905" b="3175"/>
            <wp:docPr id="6" name="图片 6" descr="Screenshot_2017-07-20-17-30-5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-07-20-17-30-50_com.ydt.g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点击校正按钮，弹窗如下图所示，可对当前未识别车牌进行校正，校正完成后若匹配到在场记录则可正常付费放行；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50695" cy="3114675"/>
            <wp:effectExtent l="9525" t="9525" r="11430" b="19050"/>
            <wp:docPr id="11" name="图片 11" descr="Screenshot_2017-07-20-17-31-07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7-07-20-17-31-07_com.ydt.g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否则可点击异常放行按钮，弹窗如下图所示，可选择对应的异常放行原因，确认操作后岗亭开闸放行，并将该条流水信息记录在异常放行中。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若识别图片为无牌车则可以点击无牌车按钮，将车辆放行归纳到无牌车类型。</w:t>
      </w:r>
    </w:p>
    <w:p>
      <w:pPr>
        <w:jc w:val="center"/>
        <w:rPr>
          <w:rFonts w:hint="eastAsia"/>
          <w:lang w:val="en-US" w:eastAsia="zh-CN"/>
        </w:rPr>
      </w:pPr>
      <w:bookmarkStart w:id="3" w:name="_GoBack"/>
      <w:r>
        <w:rPr>
          <w:rFonts w:hint="eastAsia"/>
          <w:lang w:val="en-US" w:eastAsia="zh-CN"/>
        </w:rPr>
        <w:drawing>
          <wp:inline distT="0" distB="0" distL="114300" distR="114300">
            <wp:extent cx="1494790" cy="2659380"/>
            <wp:effectExtent l="0" t="0" r="3810" b="7620"/>
            <wp:docPr id="7" name="图片 7" descr="Screenshot_2017-07-20-17-31-0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-07-20-17-31-00_com.ydt.g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" w:name="_Toc245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二、侧滑菜单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在收费主页面中右滑拉出侧栏菜单，如下图所示，菜单中包含告警历史、下班两项功能入口。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7320" cy="2522220"/>
            <wp:effectExtent l="9525" t="9525" r="20955" b="20955"/>
            <wp:docPr id="8" name="图片 8" descr="Screenshot_2017-07-20-17-27-17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7-07-20-17-27-17_com.ydt.g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点击查看历史项，跳转到如下图所示页面，该页面展示当前登录账户当班时间内的告警历史记录；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62125" cy="3132455"/>
            <wp:effectExtent l="0" t="0" r="9525" b="10795"/>
            <wp:docPr id="1" name="图片 1" descr="G:\北北的文件袋\使用手册（中性版）\Screenshot_2017-08-23-14-20-10_com.ydt.gt.pngScreenshot_2017-08-23-14-20-10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北北的文件袋\使用手册（中性版）\Screenshot_2017-08-23-14-20-10_com.ydt.gt.pngScreenshot_2017-08-23-14-20-10_com.ydt.gt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 xml:space="preserve"> 点击下班项，弹窗如下图所示，当班收费员输入账户密码，确认下班操作后结算登出账户。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75460" cy="3159125"/>
            <wp:effectExtent l="9525" t="9525" r="24765" b="12700"/>
            <wp:docPr id="10" name="图片 10" descr="Screenshot_2017-07-20-17-28-08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-07-20-17-28-08_com.ydt.g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2" w:name="_Toc17132"/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 xml:space="preserve">   三、异常告警</w:t>
      </w:r>
      <w:bookmarkEnd w:id="2"/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当岗亭闸口</w:t>
      </w: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4"/>
          <w:szCs w:val="24"/>
          <w:lang w:val="en-US" w:eastAsia="zh-CN" w:bidi="ar-SA"/>
        </w:rPr>
        <w:t>识别车辆信息后未抬杆放行超过60秒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，移动端操作系统通知栏将推送异常消息，点击可跳转到APP内异常告警页面，也可在收费主页面右上角点击闹钟图标，跳转到异常告警页面，如下图所示。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74825" cy="3093720"/>
            <wp:effectExtent l="0" t="0" r="15875" b="11430"/>
            <wp:docPr id="16" name="图片 16" descr="收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收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1509395</wp:posOffset>
                </wp:positionV>
                <wp:extent cx="619125" cy="247650"/>
                <wp:effectExtent l="6350" t="15240" r="22225" b="2286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4008755"/>
                          <a:ext cx="6191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04.65pt;margin-top:118.85pt;height:19.5pt;width:48.75pt;z-index:251663360;v-text-anchor:middle;mso-width-relative:page;mso-height-relative:page;" fillcolor="#5B9BD5 [3204]" filled="t" stroked="t" coordsize="21600,21600" o:gfxdata="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Dr/DNoAAAALAQAADwAAAAAAAAAB&#10;ACAAAAAiAAAAZHJzL2Rvd25yZXYueG1sUEsBAhQAFAAAAAgAh07iQC5FYy2AAgAA3QQAAA4AAAAA&#10;AAAAAQAgAAAAKQEAAGRycy9lMm9Eb2MueG1sUEsFBgAAAAAGAAYAWQEAABsGAAAAAA==&#10;" adj="17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734185" cy="3082925"/>
            <wp:effectExtent l="0" t="0" r="18415" b="3175"/>
            <wp:docPr id="17" name="图片 17" descr="G:\北北的文件袋\使用手册（中性版）\Screenshot_2017-08-23-14-25-24_com.ydt.gt.pngScreenshot_2017-08-23-14-25-24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G:\北北的文件袋\使用手册（中性版）\Screenshot_2017-08-23-14-25-24_com.ydt.gt.pngScreenshot_2017-08-23-14-25-24_com.ydt.g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可在该页面中进行异常放行或付费放行操作，并填写放行原因，如下图所示，放行流水将记录在后台相应模块中。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419" w:firstLineChars="0"/>
        <w:jc w:val="center"/>
        <w:textAlignment w:val="auto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1565275" cy="2782570"/>
            <wp:effectExtent l="9525" t="9525" r="25400" b="27305"/>
            <wp:docPr id="18" name="图片 18" descr="G:\北北的文件袋\使用手册（中性版）\Screenshot_2017-08-23-14-25-28_com.ydt.gt.pngScreenshot_2017-08-23-14-25-28_com.ydt.g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G:\北北的文件袋\使用手册（中性版）\Screenshot_2017-08-23-14-25-28_com.ydt.gt.pngScreenshot_2017-08-23-14-25-28_com.ydt.gt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8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异常告警列表中监控的是该车场所有出口通道的异常未放行（即60秒未起杆）情况。而收费主页面中显示的是当前监控通道的放行情况。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F2843"/>
    <w:rsid w:val="075638DD"/>
    <w:rsid w:val="0C374276"/>
    <w:rsid w:val="11AC5B50"/>
    <w:rsid w:val="12F6598D"/>
    <w:rsid w:val="1764746F"/>
    <w:rsid w:val="252F38CF"/>
    <w:rsid w:val="26702EED"/>
    <w:rsid w:val="2AE8446C"/>
    <w:rsid w:val="2EBC3DF0"/>
    <w:rsid w:val="312C51C0"/>
    <w:rsid w:val="36EF2843"/>
    <w:rsid w:val="38B60D6B"/>
    <w:rsid w:val="3B9B7DD6"/>
    <w:rsid w:val="3D4F4ACC"/>
    <w:rsid w:val="444E1472"/>
    <w:rsid w:val="457267DE"/>
    <w:rsid w:val="48925522"/>
    <w:rsid w:val="4B7B607A"/>
    <w:rsid w:val="4E380E6F"/>
    <w:rsid w:val="513D6AEB"/>
    <w:rsid w:val="566A69BB"/>
    <w:rsid w:val="578F5022"/>
    <w:rsid w:val="63F373E7"/>
    <w:rsid w:val="67136775"/>
    <w:rsid w:val="679B79FC"/>
    <w:rsid w:val="6CBD5B81"/>
    <w:rsid w:val="6EAF5560"/>
    <w:rsid w:val="6F6F60DC"/>
    <w:rsid w:val="769070EA"/>
    <w:rsid w:val="79AD7E06"/>
    <w:rsid w:val="7ECE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qFormat/>
    <w:uiPriority w:val="0"/>
    <w:pPr>
      <w:ind w:firstLine="42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1"/>
    <w:basedOn w:val="1"/>
    <w:next w:val="1"/>
    <w:qFormat/>
    <w:uiPriority w:val="0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2017-07-20T09:06:00Z</dcterms:created>
  <dc:creator>admin</dc:creator>
  <cp:lastModifiedBy>北北</cp:lastModifiedBy>
  <dcterms:modified xsi:type="dcterms:W3CDTF">2017-11-17T02:11:07Z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