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  <w:r>
        <w:rPr>
          <w:sz w:val="8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506730</wp:posOffset>
                </wp:positionV>
                <wp:extent cx="0" cy="2347595"/>
                <wp:effectExtent l="13970" t="13970" r="24130" b="2603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2301240"/>
                          <a:ext cx="0" cy="234759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2E75B5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1pt;margin-top:39.9pt;height:184.85pt;width:0pt;z-index:251662336;mso-width-relative:page;mso-height-relative:page;" filled="f" stroked="t" coordsize="21600,21600" o:gfxdata="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2Hi421gAAAAgBAAAPAAAAAAAAAAEAIAAAACIAAABkcnMvZG93bnJldi54bWxQ&#10;SwECFAAUAAAACACHTuJAN++nFfkBAADDAwAADgAAAAAAAAABACAAAAAlAQAAZHJzL2Uyb0RvYy54&#10;bWxQSwUGAAAAAAYABgBZAQAAkAUAAAAA&#10;">
                <v:fill on="f" focussize="0,0"/>
                <v:stroke weight="2.25pt" color="#2E75B5 [3204]" miterlimit="8" joinstyle="miter" endcap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0" w:firstLineChars="0"/>
        <w:jc w:val="both"/>
        <w:rPr>
          <w:rFonts w:hint="eastAsia"/>
          <w:b/>
          <w:bCs/>
          <w:iCs/>
          <w:color w:val="2E75B6" w:themeColor="accent1" w:themeShade="BF"/>
          <w:sz w:val="52"/>
          <w:szCs w:val="52"/>
          <w:lang w:val="en-US" w:eastAsia="zh-CN"/>
        </w:rPr>
      </w:pPr>
      <w:r>
        <w:rPr>
          <w:rFonts w:hint="eastAsia"/>
          <w:b/>
          <w:bCs/>
          <w:iCs/>
          <w:color w:val="2E75B6" w:themeColor="accent1" w:themeShade="BF"/>
          <w:sz w:val="84"/>
          <w:szCs w:val="84"/>
          <w:lang w:val="en-US" w:eastAsia="zh-CN"/>
        </w:rPr>
        <w:t xml:space="preserve"> MPGS</w:t>
      </w:r>
      <w:r>
        <w:rPr>
          <w:rFonts w:hint="eastAsia"/>
          <w:b/>
          <w:bCs/>
          <w:iCs/>
          <w:color w:val="2E75B6" w:themeColor="accent1" w:themeShade="BF"/>
          <w:sz w:val="72"/>
          <w:szCs w:val="72"/>
          <w:lang w:val="en-US" w:eastAsia="zh-CN"/>
        </w:rPr>
        <w:t xml:space="preserve"> </w:t>
      </w:r>
      <w:r>
        <w:rPr>
          <w:rFonts w:hint="eastAsia"/>
          <w:b/>
          <w:bCs/>
          <w:i/>
          <w:iCs w:val="0"/>
          <w:color w:val="2E75B6" w:themeColor="accent1" w:themeShade="BF"/>
          <w:sz w:val="52"/>
          <w:szCs w:val="52"/>
          <w:lang w:val="en-US" w:eastAsia="zh-CN"/>
        </w:rPr>
        <w:t>—</w:t>
      </w:r>
      <w:r>
        <w:rPr>
          <w:rFonts w:hint="eastAsia"/>
          <w:b/>
          <w:bCs/>
          <w:i/>
          <w:iCs w:val="0"/>
          <w:color w:val="2E75B6" w:themeColor="accent1" w:themeShade="BF"/>
          <w:sz w:val="44"/>
          <w:szCs w:val="44"/>
          <w:lang w:val="en-US" w:eastAsia="zh-CN"/>
        </w:rPr>
        <w:t>智泊引导及反向寻车系统移动端</w:t>
      </w: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  <w:lang w:val="en-US" w:eastAsia="zh-CN"/>
        </w:rPr>
      </w:pPr>
      <w:r>
        <w:rPr>
          <w:rFonts w:hint="eastAsia"/>
          <w:b w:val="0"/>
          <w:bCs w:val="0"/>
          <w:iCs/>
          <w:color w:val="2E75B6" w:themeColor="accent1" w:themeShade="BF"/>
          <w:sz w:val="84"/>
          <w:szCs w:val="84"/>
          <w:lang w:val="en-US" w:eastAsia="zh-CN"/>
        </w:rPr>
        <w:t xml:space="preserve"> 用户手册</w:t>
      </w:r>
    </w:p>
    <w:p>
      <w:pPr>
        <w:ind w:firstLine="420" w:firstLineChars="0"/>
        <w:jc w:val="both"/>
        <w:rPr>
          <w:rFonts w:hint="eastAsia" w:eastAsiaTheme="minorEastAsia"/>
          <w:b/>
          <w:bCs/>
          <w:i/>
          <w:iCs w:val="0"/>
          <w:sz w:val="52"/>
          <w:szCs w:val="52"/>
          <w:lang w:eastAsia="zh-CN"/>
        </w:rPr>
      </w:pPr>
      <w:r>
        <w:rPr>
          <w:rFonts w:hint="eastAsia"/>
          <w:b w:val="0"/>
          <w:bCs w:val="0"/>
          <w:i/>
          <w:iCs w:val="0"/>
          <w:color w:val="2E75B6" w:themeColor="accent1" w:themeShade="BF"/>
          <w:sz w:val="28"/>
          <w:szCs w:val="28"/>
          <w:lang w:eastAsia="zh-CN"/>
        </w:rPr>
        <w:t>专注静态交通，用智慧解决停车难题</w:t>
      </w:r>
    </w:p>
    <w:p>
      <w:pPr>
        <w:ind w:firstLine="0" w:firstLineChars="0"/>
        <w:jc w:val="both"/>
        <w:rPr>
          <w:rFonts w:hint="eastAsia"/>
          <w:b/>
          <w:bCs/>
          <w:i/>
          <w:iCs w:val="0"/>
          <w:sz w:val="52"/>
          <w:szCs w:val="52"/>
        </w:rPr>
      </w:pPr>
    </w:p>
    <w:p>
      <w:pPr>
        <w:ind w:firstLine="42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ind w:firstLine="0" w:firstLineChars="0"/>
        <w:jc w:val="both"/>
        <w:rPr>
          <w:rFonts w:hint="eastAsia"/>
          <w:b/>
          <w:bCs/>
          <w:iCs/>
          <w:sz w:val="52"/>
          <w:szCs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1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Microsoft JhengHei" w:hAnsi="Microsoft JhengHei" w:eastAsia="Microsoft JhengHei" w:cs="Microsoft JhengHei"/>
          <w:i w:val="0"/>
          <w:iCs w:val="0"/>
          <w:color w:val="0000FF"/>
          <w:sz w:val="24"/>
          <w:szCs w:val="24"/>
        </w:rPr>
      </w:pPr>
    </w:p>
    <w:p>
      <w:pPr>
        <w:ind w:firstLine="0" w:firstLineChars="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52"/>
          <w:szCs w:val="52"/>
          <w:lang w:val="en-US" w:eastAsia="zh-CN"/>
        </w:rPr>
        <w:t>MPGS智泊引导及反向寻车系统移动端</w:t>
      </w:r>
    </w:p>
    <w:p>
      <w:pPr>
        <w:ind w:firstLine="0" w:firstLineChars="0"/>
        <w:jc w:val="center"/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Cs/>
          <w:sz w:val="48"/>
          <w:szCs w:val="48"/>
          <w:lang w:val="en-US" w:eastAsia="zh-CN"/>
        </w:rPr>
        <w:t>用户手册</w:t>
      </w:r>
    </w:p>
    <w:tbl>
      <w:tblPr>
        <w:tblStyle w:val="6"/>
        <w:tblpPr w:leftFromText="180" w:rightFromText="180" w:vertAnchor="text" w:horzAnchor="page" w:tblpXSpec="center" w:tblpY="416"/>
        <w:tblOverlap w:val="never"/>
        <w:tblW w:w="1028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1046"/>
        <w:gridCol w:w="1356"/>
        <w:gridCol w:w="820"/>
        <w:gridCol w:w="1819"/>
        <w:gridCol w:w="41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06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版本号</w:t>
            </w:r>
          </w:p>
        </w:tc>
        <w:tc>
          <w:tcPr>
            <w:tcW w:w="1046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拟制人/</w:t>
            </w:r>
          </w:p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修改人</w:t>
            </w:r>
          </w:p>
        </w:tc>
        <w:tc>
          <w:tcPr>
            <w:tcW w:w="1356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拟制/</w:t>
            </w:r>
          </w:p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修改日期</w:t>
            </w:r>
          </w:p>
        </w:tc>
        <w:tc>
          <w:tcPr>
            <w:tcW w:w="820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审核</w:t>
            </w:r>
          </w:p>
        </w:tc>
        <w:tc>
          <w:tcPr>
            <w:tcW w:w="1819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更改理由</w:t>
            </w:r>
          </w:p>
        </w:tc>
        <w:tc>
          <w:tcPr>
            <w:tcW w:w="4179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CCCC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主要更改内容</w:t>
            </w:r>
          </w:p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（写要点即可）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1063" w:type="dxa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V1.0</w:t>
            </w:r>
          </w:p>
        </w:tc>
        <w:tc>
          <w:tcPr>
            <w:tcW w:w="1046" w:type="dxa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hAnsi="宋体" w:eastAsia="宋体" w:cs="宋体"/>
                <w:color w:val="000000"/>
                <w:sz w:val="21"/>
                <w:szCs w:val="21"/>
                <w:lang w:val="en-US" w:eastAsia="zh-CN"/>
              </w:rPr>
              <w:t>陈钰贤</w:t>
            </w:r>
          </w:p>
        </w:tc>
        <w:tc>
          <w:tcPr>
            <w:tcW w:w="1356" w:type="dxa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201</w:t>
            </w:r>
            <w:r>
              <w:rPr>
                <w:rFonts w:hint="eastAsia" w:hAnsi="宋体" w:eastAsia="宋体" w:cs="宋体"/>
                <w:color w:val="000000"/>
                <w:sz w:val="21"/>
                <w:szCs w:val="21"/>
                <w:lang w:val="en-US" w:eastAsia="zh-CN"/>
              </w:rPr>
              <w:t>7-12-04</w:t>
            </w:r>
          </w:p>
        </w:tc>
        <w:tc>
          <w:tcPr>
            <w:tcW w:w="820" w:type="dxa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19" w:type="dxa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4179" w:type="dxa"/>
            <w:vAlign w:val="center"/>
          </w:tcPr>
          <w:p>
            <w:pPr>
              <w:pStyle w:val="2"/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9" w:hRule="atLeast"/>
          <w:jc w:val="center"/>
        </w:trPr>
        <w:tc>
          <w:tcPr>
            <w:tcW w:w="10283" w:type="dxa"/>
            <w:gridSpan w:val="6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  <w:bookmarkStart w:id="2" w:name="_GoBack"/>
            <w:bookmarkEnd w:id="2"/>
          </w:p>
          <w:p>
            <w:pPr>
              <w:pStyle w:val="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注1：每次更改归档文件时，需填写此表。</w:t>
            </w:r>
          </w:p>
          <w:p>
            <w:pPr>
              <w:pStyle w:val="2"/>
              <w:ind w:left="0" w:leftChars="0" w:firstLine="0" w:firstLineChars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注2：文件第一次归档时，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更改理由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主要更改内容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栏写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“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无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</w:rPr>
              <w:t>”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。</w:t>
            </w:r>
          </w:p>
          <w:p>
            <w:pPr>
              <w:pStyle w:val="2"/>
              <w:ind w:left="0" w:leftChars="0" w:firstLine="0" w:firstLineChars="0"/>
              <w:rPr>
                <w:rFonts w:hint="eastAsia" w:ascii="Arial" w:hAnsi="Arial" w:cs="Arial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cs="Arial"/>
                <w:color w:val="000000"/>
                <w:sz w:val="21"/>
                <w:szCs w:val="21"/>
                <w:lang w:eastAsia="zh-CN"/>
              </w:rPr>
              <w:t>注</w:t>
            </w:r>
            <w:r>
              <w:rPr>
                <w:rFonts w:hint="eastAsia" w:ascii="Arial" w:hAnsi="Arial" w:cs="Arial"/>
                <w:color w:val="000000"/>
                <w:sz w:val="21"/>
                <w:szCs w:val="21"/>
                <w:lang w:val="en-US" w:eastAsia="zh-CN"/>
              </w:rPr>
              <w:t>3：参考《MPGS 2.0配置手册》来编写</w:t>
            </w:r>
          </w:p>
        </w:tc>
      </w:tr>
    </w:tbl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eastAsia"/>
          <w:b/>
          <w:bCs/>
          <w:sz w:val="36"/>
          <w:szCs w:val="36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>
      <w:pPr>
        <w:pStyle w:val="3"/>
        <w:tabs>
          <w:tab w:val="right" w:leader="dot" w:pos="9746"/>
        </w:tabs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目 录</w:t>
      </w:r>
    </w:p>
    <w:p>
      <w:pPr>
        <w:pStyle w:val="3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TOC \o "1-3" \h \u </w:instrText>
      </w:r>
      <w:r>
        <w:rPr>
          <w:rFonts w:hint="eastAsia"/>
          <w:lang w:eastAsia="zh-CN"/>
        </w:rPr>
        <w:fldChar w:fldCharType="separate"/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_Toc13059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Arial" w:hAnsi="Arial" w:eastAsia="微软雅黑" w:cstheme="minorBidi"/>
          <w:bCs/>
          <w:kern w:val="2"/>
          <w:szCs w:val="36"/>
          <w:lang w:val="en-US" w:eastAsia="zh-CN" w:bidi="ar-SA"/>
        </w:rPr>
        <w:t>一、 车辆管理</w:t>
      </w:r>
      <w:r>
        <w:tab/>
      </w:r>
      <w:r>
        <w:fldChar w:fldCharType="begin"/>
      </w:r>
      <w:r>
        <w:instrText xml:space="preserve"> PAGEREF _Toc13059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_Toc6393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1. 在场车辆</w:t>
      </w:r>
      <w:r>
        <w:tab/>
      </w:r>
      <w:r>
        <w:fldChar w:fldCharType="begin"/>
      </w:r>
      <w:r>
        <w:instrText xml:space="preserve"> PAGEREF _Toc6393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_Toc15147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2. 历史记录</w:t>
      </w:r>
      <w:r>
        <w:tab/>
      </w:r>
      <w:r>
        <w:fldChar w:fldCharType="begin"/>
      </w:r>
      <w:r>
        <w:instrText xml:space="preserve"> PAGEREF _Toc15147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_Toc3654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3. 异常在场</w:t>
      </w:r>
      <w:r>
        <w:tab/>
      </w:r>
      <w:r>
        <w:fldChar w:fldCharType="begin"/>
      </w:r>
      <w:r>
        <w:instrText xml:space="preserve"> PAGEREF _Toc3654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_Toc1552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4. 异常出场</w:t>
      </w:r>
      <w:r>
        <w:tab/>
      </w:r>
      <w:r>
        <w:fldChar w:fldCharType="begin"/>
      </w:r>
      <w:r>
        <w:instrText xml:space="preserve"> PAGEREF _Toc1552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_Toc12499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5. 车位上报流水</w:t>
      </w:r>
      <w:r>
        <w:tab/>
      </w:r>
      <w:r>
        <w:fldChar w:fldCharType="begin"/>
      </w:r>
      <w:r>
        <w:instrText xml:space="preserve"> PAGEREF _Toc12499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_Toc2522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6. 区域上报流水</w:t>
      </w:r>
      <w:r>
        <w:tab/>
      </w:r>
      <w:r>
        <w:fldChar w:fldCharType="begin"/>
      </w:r>
      <w:r>
        <w:instrText xml:space="preserve"> PAGEREF _Toc2522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_Toc965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Arial" w:hAnsi="Arial" w:eastAsia="微软雅黑" w:cstheme="minorBidi"/>
          <w:bCs/>
          <w:kern w:val="2"/>
          <w:szCs w:val="36"/>
          <w:lang w:val="en-US" w:eastAsia="zh-CN" w:bidi="ar-SA"/>
        </w:rPr>
        <w:t>二、 系统管理</w:t>
      </w:r>
      <w:r>
        <w:tab/>
      </w:r>
      <w:r>
        <w:fldChar w:fldCharType="begin"/>
      </w:r>
      <w:r>
        <w:instrText xml:space="preserve"> PAGEREF _Toc965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_Toc5166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1.角色管理</w:t>
      </w:r>
      <w:r>
        <w:tab/>
      </w:r>
      <w:r>
        <w:fldChar w:fldCharType="begin"/>
      </w:r>
      <w:r>
        <w:instrText xml:space="preserve"> PAGEREF _Toc5166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2.用户管理</w:t>
      </w:r>
      <w:r>
        <w:tab/>
      </w:r>
      <w:r>
        <w:fldChar w:fldCharType="begin"/>
      </w:r>
      <w:r>
        <w:instrText xml:space="preserve"> PAGEREF _Toc225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_Toc22446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3.显示及语音</w:t>
      </w:r>
      <w:r>
        <w:tab/>
      </w:r>
      <w:r>
        <w:fldChar w:fldCharType="begin"/>
      </w:r>
      <w:r>
        <w:instrText xml:space="preserve"> PAGEREF _Toc22446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_Toc22661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4.地图配置</w:t>
      </w:r>
      <w:r>
        <w:tab/>
      </w:r>
      <w:r>
        <w:fldChar w:fldCharType="begin"/>
      </w:r>
      <w:r>
        <w:instrText xml:space="preserve"> PAGEREF _Toc22661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_Toc29304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5.版本说明</w:t>
      </w:r>
      <w:r>
        <w:tab/>
      </w:r>
      <w:r>
        <w:fldChar w:fldCharType="begin"/>
      </w:r>
      <w:r>
        <w:instrText xml:space="preserve"> PAGEREF _Toc29304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_Toc2728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6.系统日志</w:t>
      </w:r>
      <w:r>
        <w:tab/>
      </w:r>
      <w:r>
        <w:fldChar w:fldCharType="begin"/>
      </w:r>
      <w:r>
        <w:instrText xml:space="preserve"> PAGEREF _Toc2728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_Toc7601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Arial" w:hAnsi="Arial" w:eastAsia="微软雅黑" w:cstheme="minorBidi"/>
          <w:bCs/>
          <w:kern w:val="2"/>
          <w:szCs w:val="36"/>
          <w:lang w:val="en-US" w:eastAsia="zh-CN" w:bidi="ar-SA"/>
        </w:rPr>
        <w:t>三、 中央监控</w:t>
      </w:r>
      <w:r>
        <w:tab/>
      </w:r>
      <w:r>
        <w:fldChar w:fldCharType="begin"/>
      </w:r>
      <w:r>
        <w:instrText xml:space="preserve"> PAGEREF _Toc7601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_Toc26809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1.告警记录</w:t>
      </w:r>
      <w:r>
        <w:tab/>
      </w:r>
      <w:r>
        <w:fldChar w:fldCharType="begin"/>
      </w:r>
      <w:r>
        <w:instrText xml:space="preserve"> PAGEREF _Toc26809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_Toc30307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Arial" w:hAnsi="Arial" w:eastAsia="微软雅黑" w:cstheme="minorBidi"/>
          <w:bCs/>
          <w:kern w:val="2"/>
          <w:szCs w:val="36"/>
          <w:lang w:val="en-US" w:eastAsia="zh-CN" w:bidi="ar-SA"/>
        </w:rPr>
        <w:t>四、 报表管理</w:t>
      </w:r>
      <w:r>
        <w:tab/>
      </w:r>
      <w:r>
        <w:fldChar w:fldCharType="begin"/>
      </w:r>
      <w:r>
        <w:instrText xml:space="preserve"> PAGEREF _Toc30307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_Toc20371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1.进出报表</w:t>
      </w:r>
      <w:r>
        <w:tab/>
      </w:r>
      <w:r>
        <w:fldChar w:fldCharType="begin"/>
      </w:r>
      <w:r>
        <w:instrText xml:space="preserve"> PAGEREF _Toc20371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_Toc4652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2.查询机报表</w:t>
      </w:r>
      <w:r>
        <w:tab/>
      </w:r>
      <w:r>
        <w:fldChar w:fldCharType="begin"/>
      </w:r>
      <w:r>
        <w:instrText xml:space="preserve"> PAGEREF _Toc4652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_Toc8665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Arial" w:hAnsi="Arial" w:eastAsia="微软雅黑" w:cstheme="minorBidi"/>
          <w:bCs/>
          <w:kern w:val="2"/>
          <w:szCs w:val="36"/>
          <w:lang w:val="en-US" w:eastAsia="zh-CN" w:bidi="ar-SA"/>
        </w:rPr>
        <w:t>五、 车场管理</w:t>
      </w:r>
      <w:r>
        <w:tab/>
      </w:r>
      <w:r>
        <w:fldChar w:fldCharType="begin"/>
      </w:r>
      <w:r>
        <w:instrText xml:space="preserve"> PAGEREF _Toc8665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_Toc26262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1.基础数据</w:t>
      </w:r>
      <w:r>
        <w:tab/>
      </w:r>
      <w:r>
        <w:fldChar w:fldCharType="begin"/>
      </w:r>
      <w:r>
        <w:instrText xml:space="preserve"> PAGEREF _Toc26262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_Toc3711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2.车场地图</w:t>
      </w:r>
      <w:r>
        <w:tab/>
      </w:r>
      <w:r>
        <w:fldChar w:fldCharType="begin"/>
      </w:r>
      <w:r>
        <w:instrText xml:space="preserve"> PAGEREF _Toc3711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_Toc23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3.车位管理</w:t>
      </w:r>
      <w:r>
        <w:tab/>
      </w:r>
      <w:r>
        <w:fldChar w:fldCharType="begin"/>
      </w:r>
      <w:r>
        <w:instrText xml:space="preserve"> PAGEREF _Toc23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_Toc19528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4.区域管理</w:t>
      </w:r>
      <w:r>
        <w:tab/>
      </w:r>
      <w:r>
        <w:fldChar w:fldCharType="begin"/>
      </w:r>
      <w:r>
        <w:instrText xml:space="preserve"> PAGEREF _Toc19528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_Toc11772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5.参数配置</w:t>
      </w:r>
      <w:r>
        <w:tab/>
      </w:r>
      <w:r>
        <w:fldChar w:fldCharType="begin"/>
      </w:r>
      <w:r>
        <w:instrText xml:space="preserve"> PAGEREF _Toc11772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_Toc31356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6.事件设置</w:t>
      </w:r>
      <w:r>
        <w:tab/>
      </w:r>
      <w:r>
        <w:fldChar w:fldCharType="begin"/>
      </w:r>
      <w:r>
        <w:instrText xml:space="preserve"> PAGEREF _Toc31356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_Toc13011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7.VIP车辆</w:t>
      </w:r>
      <w:r>
        <w:tab/>
      </w:r>
      <w:r>
        <w:fldChar w:fldCharType="begin"/>
      </w:r>
      <w:r>
        <w:instrText xml:space="preserve"> PAGEREF _Toc13011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_Toc6195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Arial" w:hAnsi="Arial" w:eastAsia="微软雅黑" w:cstheme="minorBidi"/>
          <w:bCs/>
          <w:kern w:val="2"/>
          <w:szCs w:val="36"/>
          <w:lang w:val="en-US" w:eastAsia="zh-CN" w:bidi="ar-SA"/>
        </w:rPr>
        <w:t>六、 设备管理</w:t>
      </w:r>
      <w:r>
        <w:tab/>
      </w:r>
      <w:r>
        <w:fldChar w:fldCharType="begin"/>
      </w:r>
      <w:r>
        <w:instrText xml:space="preserve"> PAGEREF _Toc6195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_Toc17687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1.检测设备</w:t>
      </w:r>
      <w:r>
        <w:tab/>
      </w:r>
      <w:r>
        <w:fldChar w:fldCharType="begin"/>
      </w:r>
      <w:r>
        <w:instrText xml:space="preserve"> PAGEREF _Toc17687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_Toc20178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2.指示灯</w:t>
      </w:r>
      <w:r>
        <w:tab/>
      </w:r>
      <w:r>
        <w:fldChar w:fldCharType="begin"/>
      </w:r>
      <w:r>
        <w:instrText xml:space="preserve"> PAGEREF _Toc20178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_Toc18972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3.屏管理</w:t>
      </w:r>
      <w:r>
        <w:tab/>
      </w:r>
      <w:r>
        <w:fldChar w:fldCharType="begin"/>
      </w:r>
      <w:r>
        <w:instrText xml:space="preserve"> PAGEREF _Toc18972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_Toc29116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4.控制器</w:t>
      </w:r>
      <w:r>
        <w:tab/>
      </w:r>
      <w:r>
        <w:fldChar w:fldCharType="begin"/>
      </w:r>
      <w:r>
        <w:instrText xml:space="preserve"> PAGEREF _Toc29116 </w:instrText>
      </w:r>
      <w:r>
        <w:fldChar w:fldCharType="separate"/>
      </w:r>
      <w:r>
        <w:t>68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3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_Toc17815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Arial" w:hAnsi="Arial" w:eastAsia="微软雅黑" w:cstheme="minorBidi"/>
          <w:bCs/>
          <w:kern w:val="2"/>
          <w:szCs w:val="36"/>
          <w:lang w:val="en-US" w:eastAsia="zh-CN" w:bidi="ar-SA"/>
        </w:rPr>
        <w:t>七、 后台管理</w:t>
      </w:r>
      <w:r>
        <w:tab/>
      </w:r>
      <w:r>
        <w:fldChar w:fldCharType="begin"/>
      </w:r>
      <w:r>
        <w:instrText xml:space="preserve"> PAGEREF _Toc17815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_Toc25667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1.中间件</w:t>
      </w:r>
      <w:r>
        <w:tab/>
      </w:r>
      <w:r>
        <w:fldChar w:fldCharType="begin"/>
      </w:r>
      <w:r>
        <w:instrText xml:space="preserve"> PAGEREF _Toc25667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pStyle w:val="4"/>
        <w:tabs>
          <w:tab w:val="right" w:leader="dot" w:pos="9746"/>
        </w:tabs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\l _Toc2617 </w:instrText>
      </w:r>
      <w:r>
        <w:rPr>
          <w:rFonts w:hint="eastAsia"/>
          <w:lang w:eastAsia="zh-CN"/>
        </w:rPr>
        <w:fldChar w:fldCharType="separate"/>
      </w:r>
      <w:r>
        <w:rPr>
          <w:rFonts w:hint="eastAsia" w:ascii="黑体" w:hAnsi="黑体" w:eastAsia="黑体" w:cs="黑体"/>
          <w:szCs w:val="36"/>
          <w:lang w:val="en-US" w:eastAsia="zh-CN"/>
        </w:rPr>
        <w:t>2.查询机</w:t>
      </w:r>
      <w:r>
        <w:tab/>
      </w:r>
      <w:r>
        <w:fldChar w:fldCharType="begin"/>
      </w:r>
      <w:r>
        <w:instrText xml:space="preserve"> PAGEREF _Toc2617 </w:instrText>
      </w:r>
      <w:r>
        <w:fldChar w:fldCharType="separate"/>
      </w:r>
      <w:r>
        <w:t>70</w:t>
      </w:r>
      <w:r>
        <w:fldChar w:fldCharType="end"/>
      </w:r>
      <w:r>
        <w:rPr>
          <w:rFonts w:hint="eastAsia"/>
          <w:lang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end"/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480" w:firstLineChars="200"/>
        <w:jc w:val="both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>MPGS智泊引导及反向寻车系统通过线下检测设备的部署，一方面为停车场提供实时车位数据的监控，方便停车场对场内车位进行管理，另一方面也为场内停车的车主提供反向寻车的便利功能。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>MPGS智泊引导及反向寻车系统当前包含了车辆管理、系统管理、中央监控、报表管理、车场管理、设备管理和后台管理等七大模块的内容。以下将对MPGS智泊引导及反向寻车系统分模块功能进行介绍，方便您随时对其进行配置使用。</w:t>
      </w:r>
    </w:p>
    <w:p>
      <w:pPr>
        <w:ind w:left="0" w:leftChars="0" w:firstLine="0" w:firstLineChars="0"/>
        <w:rPr>
          <w:rFonts w:hint="eastAsia"/>
          <w:lang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jc w:val="both"/>
        <w:outlineLvl w:val="0"/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</w:pPr>
      <w:bookmarkStart w:id="0" w:name="_Toc13059"/>
      <w:bookmarkStart w:id="1" w:name="_Toc17059"/>
      <w:r>
        <w:rPr>
          <w:rFonts w:hint="eastAsia" w:ascii="Arial" w:hAnsi="Arial" w:eastAsia="微软雅黑" w:cstheme="minorBidi"/>
          <w:b w:val="0"/>
          <w:bCs/>
          <w:kern w:val="2"/>
          <w:sz w:val="36"/>
          <w:szCs w:val="36"/>
          <w:lang w:val="en-US" w:eastAsia="zh-CN" w:bidi="ar-SA"/>
        </w:rPr>
        <w:t>车辆管理</w:t>
      </w:r>
      <w:bookmarkEnd w:id="0"/>
      <w:bookmarkEnd w:id="1"/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/>
          <w:kern w:val="2"/>
          <w:sz w:val="24"/>
          <w:szCs w:val="24"/>
          <w:lang w:val="en-US" w:eastAsia="zh-CN" w:bidi="ar-SA"/>
        </w:rPr>
        <w:t xml:space="preserve"> 如下图所示，车辆管理模块包含了在场车辆、历史记录、异常在场、异常出场、车位上报流水和区域上报流水等六大功能模块，是MPGS系统中主要负责记录车辆在场和出场信息的管理查询模块，记录的信息主要来源为MTS和VEMS上报。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swiss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DFKai-SB">
    <w:altName w:val="Microsoft JhengHei Light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ungsuh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plified Arabic">
    <w:altName w:val="Times New Roman"/>
    <w:panose1 w:val="02020603050405020304"/>
    <w:charset w:val="00"/>
    <w:family w:val="auto"/>
    <w:pitch w:val="default"/>
    <w:sig w:usb0="00000000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uphemia">
    <w:altName w:val="Yu Gothic UI"/>
    <w:panose1 w:val="020B0503040102020104"/>
    <w:charset w:val="00"/>
    <w:family w:val="auto"/>
    <w:pitch w:val="default"/>
    <w:sig w:usb0="00000000" w:usb1="00000000" w:usb2="00002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smine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ali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Uighur">
    <w:altName w:val="Trebuchet MS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冬青黑体简体中文 W3">
    <w:altName w:val="黑体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?">
    <w:altName w:val="宋体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µÈÏß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Heiti SC Light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Liberation Serif">
    <w:altName w:val="宋体"/>
    <w:panose1 w:val="02020603050405020304"/>
    <w:charset w:val="86"/>
    <w:family w:val="roman"/>
    <w:pitch w:val="default"/>
    <w:sig w:usb0="00000000" w:usb1="00000000" w:usb2="00000021" w:usb3="00000000" w:csb0="600001BF" w:csb1="DFF70000"/>
  </w:font>
  <w:font w:name="Cambria">
    <w:panose1 w:val="02040503050406030204"/>
    <w:charset w:val="86"/>
    <w:family w:val="roman"/>
    <w:pitch w:val="default"/>
    <w:sig w:usb0="E00006FF" w:usb1="400004FF" w:usb2="00000000" w:usb3="00000000" w:csb0="2000019F" w:csb1="00000000"/>
  </w:font>
  <w:font w:name="Arial">
    <w:panose1 w:val="020B0604020202020204"/>
    <w:charset w:val="86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Liberation Sans">
    <w:altName w:val="宋体"/>
    <w:panose1 w:val="020B0604020202020204"/>
    <w:charset w:val="86"/>
    <w:family w:val="swiss"/>
    <w:pitch w:val="default"/>
    <w:sig w:usb0="00000000" w:usb1="00000000" w:usb2="00000021" w:usb3="00000000" w:csb0="600001BF" w:csb1="DFF70000"/>
  </w:font>
  <w:font w:name="宋?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auto"/>
    <w:pitch w:val="default"/>
    <w:sig w:usb0="00000000" w:usb1="00000000" w:usb2="00000000" w:usb3="00000000" w:csb0="00000001" w:csb1="0000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EC15"/>
    <w:multiLevelType w:val="singleLevel"/>
    <w:tmpl w:val="5938EC15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C16579"/>
    <w:rsid w:val="48C16579"/>
    <w:rsid w:val="5ECB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="宋体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3">
    <w:name w:val="toc 1"/>
    <w:basedOn w:val="1"/>
    <w:next w:val="1"/>
    <w:uiPriority w:val="0"/>
  </w:style>
  <w:style w:type="paragraph" w:styleId="4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2018-02-26T09:25:00Z</dcterms:created>
  <dc:creator>北北</dc:creator>
  <cp:lastModifiedBy>北北</cp:lastModifiedBy>
  <dcterms:modified xsi:type="dcterms:W3CDTF">2018-02-26T09:51:42Z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