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asciiTheme="majorHAnsi" w:hAnsiTheme="majorHAnsi" w:eastAsiaTheme="majorEastAsia" w:cstheme="majorBidi"/>
          <w:caps/>
          <w:sz w:val="18"/>
          <w:szCs w:val="24"/>
        </w:rPr>
        <w:id w:val="411183216"/>
      </w:sdtPr>
      <w:sdtEndPr>
        <w:rPr>
          <w:rFonts w:asciiTheme="majorHAnsi" w:hAnsiTheme="majorHAnsi" w:eastAsiaTheme="majorEastAsia" w:cstheme="majorBidi"/>
          <w:b/>
          <w:caps w:val="0"/>
          <w:sz w:val="76"/>
          <w:szCs w:val="72"/>
        </w:rPr>
      </w:sdtEndPr>
      <w:sdtContent>
        <w:tbl>
          <w:tblPr>
            <w:tblStyle w:val="13"/>
            <w:tblW w:w="11016" w:type="dxa"/>
            <w:jc w:val="center"/>
            <w:tblInd w:w="0" w:type="dxa"/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1016"/>
          </w:tblGrid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2880" w:hRule="atLeast"/>
              <w:jc w:val="center"/>
            </w:trPr>
            <w:tc>
              <w:tcPr>
                <w:tcW w:w="11016" w:type="dxa"/>
              </w:tcPr>
              <w:p>
                <w:pPr>
                  <w:pStyle w:val="15"/>
                  <w:jc w:val="center"/>
                  <w:rPr>
                    <w:rFonts w:asciiTheme="majorHAnsi" w:hAnsiTheme="majorHAnsi" w:eastAsiaTheme="majorEastAsia" w:cstheme="majorBidi"/>
                    <w:caps/>
                  </w:rPr>
                </w:pP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1440" w:hRule="atLeast"/>
              <w:jc w:val="center"/>
            </w:trPr>
            <w:sdt>
              <w:sdtPr>
                <w:rPr>
                  <w:rFonts w:asciiTheme="majorHAnsi" w:hAnsiTheme="majorHAnsi" w:eastAsiaTheme="majorEastAsia" w:cstheme="majorBidi"/>
                  <w:sz w:val="80"/>
                  <w:szCs w:val="80"/>
                </w:rPr>
                <w:alias w:val="Title"/>
                <w:id w:val="15524250"/>
                <w:placeholder>
                  <w:docPart w:val="{832f3838-a289-4571-91bb-5dfc4fbf259d}"/>
                </w:placeholder>
    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asciiTheme="majorHAnsi" w:hAnsiTheme="majorHAnsi" w:eastAsiaTheme="majorEastAsia" w:cstheme="majorBidi"/>
                  <w:sz w:val="80"/>
                  <w:szCs w:val="80"/>
                </w:rPr>
              </w:sdtEndPr>
              <w:sdtContent>
                <w:tc>
                  <w:tcPr>
                    <w:tcW w:w="11016" w:type="dxa"/>
                    <w:tcBorders>
                      <w:bottom w:val="single" w:color="3F3F3F" w:themeColor="text1" w:themeTint="BF" w:sz="4" w:space="0"/>
                    </w:tcBorders>
                    <w:vAlign w:val="center"/>
                  </w:tcPr>
                  <w:p>
                    <w:pPr>
                      <w:pStyle w:val="15"/>
                      <w:jc w:val="center"/>
                      <w:rPr>
                        <w:rFonts w:asciiTheme="majorHAnsi" w:hAnsiTheme="majorHAnsi" w:eastAsiaTheme="majorEastAsia" w:cstheme="majorBidi"/>
                        <w:sz w:val="80"/>
                        <w:szCs w:val="80"/>
                      </w:rPr>
                    </w:pPr>
                    <w:r>
                      <w:rPr>
                        <w:rFonts w:hint="eastAsia" w:asciiTheme="majorHAnsi" w:hAnsiTheme="majorHAnsi" w:eastAsiaTheme="majorEastAsia" w:cstheme="majorBidi"/>
                        <w:sz w:val="80"/>
                        <w:szCs w:val="80"/>
                        <w:lang w:eastAsia="zh-CN"/>
                      </w:rPr>
                      <w:t>微信云停车系统V1.0.0</w:t>
                    </w:r>
                  </w:p>
                </w:tc>
              </w:sdtContent>
            </w:sdt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0" w:hRule="atLeast"/>
              <w:jc w:val="center"/>
            </w:trPr>
            <w:sdt>
              <w:sdtPr>
                <w:rPr>
                  <w:rFonts w:asciiTheme="majorHAnsi" w:hAnsiTheme="majorHAnsi" w:eastAsiaTheme="majorEastAsia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{f5a51892-da6e-4292-b6b9-2c6a2d7bce30}"/>
                </w:placeholder>
                <w15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>
                <w:rPr>
                  <w:rFonts w:asciiTheme="majorHAnsi" w:hAnsiTheme="majorHAnsi" w:eastAsiaTheme="majorEastAsia" w:cstheme="majorBidi"/>
                  <w:sz w:val="44"/>
                  <w:szCs w:val="44"/>
                  <w:lang w:val="en-US"/>
                </w:rPr>
              </w:sdtEndPr>
              <w:sdtContent>
                <w:tc>
                  <w:tcPr>
                    <w:tcW w:w="11016" w:type="dxa"/>
                    <w:tcBorders>
                      <w:top w:val="single" w:color="3F3F3F" w:themeColor="text1" w:themeTint="BF" w:sz="4" w:space="0"/>
                    </w:tcBorders>
                    <w:vAlign w:val="center"/>
                  </w:tcPr>
                  <w:p>
                    <w:pPr>
                      <w:pStyle w:val="15"/>
                      <w:jc w:val="center"/>
                      <w:rPr>
                        <w:rFonts w:asciiTheme="majorHAnsi" w:hAnsiTheme="majorHAnsi" w:eastAsiaTheme="majorEastAsia" w:cstheme="majorBidi"/>
                        <w:sz w:val="44"/>
                        <w:szCs w:val="44"/>
                      </w:rPr>
                    </w:pPr>
                    <w:r>
                      <w:rPr>
                        <w:rFonts w:hint="eastAsia" w:asciiTheme="majorHAnsi" w:hAnsiTheme="majorHAnsi" w:eastAsiaTheme="majorEastAsia" w:cstheme="majorBidi"/>
                        <w:sz w:val="44"/>
                        <w:szCs w:val="44"/>
                        <w:lang w:eastAsia="zh-CN"/>
                      </w:rPr>
                      <w:t>产品需求说明书v1</w:t>
                    </w:r>
                  </w:p>
                </w:tc>
              </w:sdtContent>
            </w:sdt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0" w:hRule="atLeast"/>
              <w:jc w:val="center"/>
            </w:trPr>
            <w:tc>
              <w:tcPr>
                <w:tcW w:w="11016" w:type="dxa"/>
                <w:vAlign w:val="center"/>
              </w:tcPr>
              <w:p>
                <w:pPr>
                  <w:pStyle w:val="15"/>
                  <w:jc w:val="center"/>
                </w:pP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0" w:hRule="atLeast"/>
              <w:jc w:val="center"/>
            </w:trPr>
            <w:tc>
              <w:tcPr>
                <w:tcW w:w="11016" w:type="dxa"/>
                <w:vAlign w:val="center"/>
              </w:tcPr>
              <w:p>
                <w:pPr>
                  <w:pStyle w:val="15"/>
                  <w:jc w:val="center"/>
                  <w:rPr>
                    <w:b/>
                    <w:bCs/>
                  </w:rPr>
                </w:pPr>
                <w:r>
                  <w:rPr>
                    <w:rFonts w:hint="eastAsia"/>
                    <w:b/>
                    <w:bCs/>
                    <w:lang w:eastAsia="zh-CN"/>
                  </w:rPr>
                  <w:t>何嘉灵</w:t>
                </w:r>
              </w:p>
            </w:tc>
          </w:tr>
          <w:tr>
            <w:tblPrEx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0" w:hRule="atLeast"/>
              <w:jc w:val="center"/>
            </w:trPr>
            <w:tc>
              <w:tcPr>
                <w:tcW w:w="11016" w:type="dxa"/>
                <w:vAlign w:val="center"/>
              </w:tcPr>
              <w:p>
                <w:pPr>
                  <w:pStyle w:val="15"/>
                  <w:jc w:val="center"/>
                  <w:rPr>
                    <w:rFonts w:hint="eastAsia" w:eastAsiaTheme="minorEastAsia"/>
                    <w:b/>
                    <w:bCs/>
                    <w:lang w:val="en-US" w:eastAsia="zh-CN"/>
                  </w:rPr>
                </w:pPr>
                <w:r>
                  <w:rPr>
                    <w:rFonts w:hint="eastAsia"/>
                    <w:b/>
                    <w:bCs/>
                    <w:lang w:val="en-US" w:eastAsia="zh-CN"/>
                  </w:rPr>
                  <w:t>2018-3-29</w:t>
                </w:r>
              </w:p>
            </w:tc>
          </w:tr>
        </w:tbl>
        <w:p>
          <w:pPr>
            <w:pStyle w:val="16"/>
            <w:jc w:val="both"/>
          </w:pPr>
        </w:p>
      </w:sdtContent>
    </w:sdt>
    <w:p>
      <w:pPr>
        <w:pBdr>
          <w:bottom w:val="single" w:color="auto" w:sz="6" w:space="1"/>
        </w:pBdr>
        <w:jc w:val="left"/>
        <w:rPr>
          <w:rFonts w:hint="eastAsia" w:ascii="宋体" w:hAnsi="宋体" w:eastAsia="宋体" w:cs="宋体"/>
          <w:b/>
          <w:bCs/>
          <w:szCs w:val="20"/>
        </w:rPr>
      </w:pPr>
      <w:r>
        <w:br w:type="page"/>
      </w:r>
      <w:r>
        <w:rPr>
          <w:rFonts w:hint="eastAsia" w:ascii="宋体" w:hAnsi="宋体" w:eastAsia="宋体" w:cs="宋体"/>
          <w:b/>
          <w:bCs/>
          <w:szCs w:val="20"/>
        </w:rPr>
        <w:t>修订历史</w:t>
      </w:r>
    </w:p>
    <w:tbl>
      <w:tblPr>
        <w:tblStyle w:val="13"/>
        <w:tblpPr w:leftFromText="180" w:rightFromText="180" w:vertAnchor="text" w:horzAnchor="page" w:tblpX="1930" w:tblpY="340"/>
        <w:tblOverlap w:val="never"/>
        <w:tblW w:w="816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1391"/>
        <w:gridCol w:w="3461"/>
        <w:gridCol w:w="1194"/>
        <w:gridCol w:w="1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  <w:t>版本号</w:t>
            </w:r>
          </w:p>
        </w:tc>
        <w:tc>
          <w:tcPr>
            <w:tcW w:w="1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  <w:t>作者</w:t>
            </w:r>
          </w:p>
        </w:tc>
        <w:tc>
          <w:tcPr>
            <w:tcW w:w="3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  <w:t>内容提要</w:t>
            </w:r>
          </w:p>
        </w:tc>
        <w:tc>
          <w:tcPr>
            <w:tcW w:w="1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  <w:t>文档状态</w:t>
            </w: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</w:rPr>
              <w:t>发布日期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  <w:t>V1</w:t>
            </w:r>
          </w:p>
        </w:tc>
        <w:tc>
          <w:tcPr>
            <w:tcW w:w="1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  <w:t>何嘉灵</w:t>
            </w:r>
          </w:p>
        </w:tc>
        <w:tc>
          <w:tcPr>
            <w:tcW w:w="3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  <w:t>首次创建</w:t>
            </w:r>
          </w:p>
        </w:tc>
        <w:tc>
          <w:tcPr>
            <w:tcW w:w="11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eastAsia="zh-CN"/>
              </w:rPr>
              <w:t>新增</w:t>
            </w:r>
          </w:p>
        </w:tc>
        <w:tc>
          <w:tcPr>
            <w:tcW w:w="1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lang w:val="en-US" w:eastAsia="zh-CN"/>
              </w:rPr>
              <w:t>20180329</w:t>
            </w:r>
          </w:p>
        </w:tc>
      </w:tr>
    </w:tbl>
    <w:p>
      <w:r>
        <w:br w:type="page"/>
      </w:r>
    </w:p>
    <w:p>
      <w:pPr>
        <w:pStyle w:val="2"/>
        <w:ind w:left="432" w:leftChars="0" w:hanging="432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全局说明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1"/>
        <w:gridCol w:w="6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全局</w:t>
            </w:r>
            <w:r>
              <w:rPr>
                <w:rFonts w:hint="eastAsia"/>
                <w:lang w:val="en-US" w:eastAsia="zh-CN"/>
              </w:rPr>
              <w:t>UI要求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参照UI设计稿。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效率要求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网络正常的情况下，任何菜单的点击响应时间不超过</w:t>
            </w:r>
            <w:r>
              <w:rPr>
                <w:lang w:val="en-US" w:eastAsia="zh-CN"/>
              </w:rPr>
              <w:t>3秒</w:t>
            </w:r>
            <w:r>
              <w:rPr>
                <w:rFonts w:hint="eastAsia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兼容性要求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新增功能模块需兼容原有功能及原有数据。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权限控制要求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功能权限控制需细化到每一个功能按钮，每一个新增功能都需对应添加权限控制。</w:t>
            </w:r>
          </w:p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数据权限控制到停车场。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全局列表要求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列表默认每页显示10条，可选每页显示数量（10/50/100）。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全局弹窗要求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所有弹窗需在界面可视范围内，若显示不全则配合上下滚动条和左右滚动条展示。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无操作(只读)弹窗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即无写入数据库操作的弹窗，右上角显示“X”，点击可关闭弹窗，鼠标点击弹窗以外的内容也可关闭弹窗。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操作提示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操作提示返回统一在右下角提示框，2秒后自动消失。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点击“搜索”功能按钮，按输入条件搜索，3s内刷新数据。</w:t>
            </w:r>
          </w:p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搜索数据超过实时搜索限制时，转入预约下载中心。</w:t>
            </w:r>
          </w:p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输入搜索条件后回车自动搜索。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确认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点击“确认”功能按钮，配置生效，写入数据库，关闭弹窗。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点击“取消”功能按钮，配置无效，直接关闭弹窗。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必填项标识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所有必填项需要有必填标识。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金额的显示逻辑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统一精确到分位，如：10.00。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时间的显示逻辑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如无特别说明，统一显示YY-MM-DD hh:mm:ss。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密码格式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所有输入的信息必须以*号代替。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停车场搜索</w:t>
            </w:r>
          </w:p>
        </w:tc>
        <w:tc>
          <w:tcPr>
            <w:tcW w:w="645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适用通用停车场搜索框，与停车场批量选择弹窗。</w:t>
            </w:r>
          </w:p>
        </w:tc>
      </w:tr>
    </w:tbl>
    <w:p>
      <w:pP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0" w:name="_Toc2143"/>
      <w:bookmarkStart w:id="1" w:name="_Toc15886"/>
      <w:bookmarkStart w:id="2" w:name="_Toc11268"/>
      <w:bookmarkStart w:id="3" w:name="_Toc31429"/>
      <w:r>
        <w:rPr>
          <w:rFonts w:hint="eastAsia"/>
          <w:lang w:val="en-US" w:eastAsia="zh-CN"/>
        </w:rPr>
        <w:t>目的</w:t>
      </w:r>
      <w:bookmarkEnd w:id="0"/>
      <w:bookmarkEnd w:id="1"/>
      <w:bookmarkEnd w:id="2"/>
      <w:bookmarkEnd w:id="3"/>
    </w:p>
    <w:p>
      <w:pPr>
        <w:pStyle w:val="3"/>
        <w:rPr>
          <w:rFonts w:hint="eastAsia"/>
          <w:lang w:val="en-US" w:eastAsia="zh-CN"/>
        </w:rPr>
      </w:pPr>
      <w:bookmarkStart w:id="4" w:name="_Toc19106"/>
      <w:bookmarkStart w:id="5" w:name="_Toc25502"/>
      <w:bookmarkStart w:id="6" w:name="_Toc15109"/>
      <w:bookmarkStart w:id="7" w:name="_Toc24242"/>
      <w:r>
        <w:rPr>
          <w:rFonts w:hint="eastAsia"/>
          <w:lang w:val="en-US" w:eastAsia="zh-CN"/>
        </w:rPr>
        <w:t>背景</w:t>
      </w:r>
      <w:bookmarkEnd w:id="4"/>
      <w:bookmarkEnd w:id="5"/>
      <w:bookmarkEnd w:id="6"/>
      <w:bookmarkEnd w:id="7"/>
    </w:p>
    <w:p>
      <w:pPr>
        <w:pStyle w:val="3"/>
        <w:rPr>
          <w:rFonts w:hint="eastAsia"/>
          <w:lang w:val="en-US" w:eastAsia="zh-CN"/>
        </w:rPr>
      </w:pPr>
      <w:bookmarkStart w:id="8" w:name="_Toc29668"/>
      <w:bookmarkStart w:id="9" w:name="_Toc10609"/>
      <w:bookmarkStart w:id="10" w:name="_Toc25740"/>
      <w:bookmarkStart w:id="11" w:name="_Toc20322"/>
      <w:r>
        <w:rPr>
          <w:rFonts w:hint="eastAsia"/>
          <w:lang w:val="en-US" w:eastAsia="zh-CN"/>
        </w:rPr>
        <w:t>目的</w:t>
      </w:r>
      <w:bookmarkEnd w:id="8"/>
      <w:bookmarkEnd w:id="9"/>
      <w:bookmarkEnd w:id="10"/>
      <w:bookmarkEnd w:id="11"/>
    </w:p>
    <w:p>
      <w:r>
        <w:rPr>
          <w:rFonts w:hint="eastAsia"/>
          <w:lang w:val="en-US" w:eastAsia="zh-CN"/>
        </w:rPr>
        <w:t>将道闸设备直连云端的系统运作模式落地，第一个版本首先满足特定类型停车场（村居、住宅、写字楼等）特定业务场景（只有临停车辆与VIP车辆）的运行需求。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  <w:bookmarkStart w:id="12" w:name="_Toc28807"/>
      <w:bookmarkStart w:id="13" w:name="_Toc5709"/>
      <w:bookmarkStart w:id="14" w:name="_Toc10993"/>
      <w:r>
        <w:rPr>
          <w:rFonts w:hint="eastAsia" w:ascii="黑体" w:hAnsi="黑体" w:eastAsia="黑体" w:cs="黑体"/>
          <w:szCs w:val="22"/>
          <w:lang w:val="en-US" w:eastAsia="zh-CN"/>
        </w:rPr>
        <w:t>关键业务流程</w:t>
      </w:r>
      <w:bookmarkEnd w:id="12"/>
      <w:bookmarkEnd w:id="13"/>
      <w:bookmarkEnd w:id="14"/>
    </w:p>
    <w:p>
      <w:pPr>
        <w:jc w:val="center"/>
      </w:pPr>
      <w:r>
        <w:drawing>
          <wp:inline distT="0" distB="0" distL="114300" distR="114300">
            <wp:extent cx="4253230" cy="8853170"/>
            <wp:effectExtent l="0" t="0" r="13970" b="5080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885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1770" cy="8713470"/>
            <wp:effectExtent l="0" t="0" r="5080" b="11430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1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7108190"/>
            <wp:effectExtent l="0" t="0" r="3175" b="16510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0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048000" cy="88531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85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347595"/>
            <wp:effectExtent l="0" t="0" r="10160" b="146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出入口设备直连云端的系统运作模式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支持不同厂家的道闸设备、摄像枪接入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出入口设备支持双网通讯：宽带有线传输 和 4G移动通讯。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当出入口设备与云端连接正常时，出入口设备不做任何逻辑判断，直接请求云端，云端处理后返回执行指令，道闸设备按指令执行开关闸与语音播报。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当道闸设备与云端连接异常时，道闸设备自动开闸，并保留进出场记录，待与云端连接恢复时上报，云端处理离线记录。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相关产品定位与协作关系</w:t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AOMP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使用对象：艾科智泊的运营人员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主要功能：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一点停运营，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所有系统（YDT、POMP、YDTO、AOPS）的授权管理、账号体系、权限管理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停车场接入与配置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总体运营管理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POMP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使用对象：停车场管理方、经销商、设备厂商、艾科智泊的顶级停车场管理员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主要功能：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上下级运营商管理（集团化的多停车场管理）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车场管理（车场接入、相关流水记录、报表及统计分析）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车场运营（商家券、月票、共享、预定、积分、线上停车场优惠）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车场管理移动端（一点停-车场公众号及小程序、移动管理APP）管理后台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 xml:space="preserve">YDTP  </w:t>
      </w:r>
      <w:r>
        <w:rPr>
          <w:rFonts w:hint="eastAsia"/>
          <w:color w:val="auto"/>
          <w:lang w:val="en-US" w:eastAsia="zh-CN"/>
        </w:rPr>
        <w:t>车场管理移动端（一点停-车场公众号及小程序）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使用对象：超级管理员（客服）、停车场管理方、收费巡检员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主要功能：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超级管理员：设备调试，车场配置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管理员：车场配置，收费管理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收费巡检员：进行收费放行，异常处理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AOPS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使用对象：艾科智泊的运维与客服中心、第三方客服、第三方运维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主要功能：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监控（设备监控）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告警（工程类告警、业务类告警）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中央值守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问题定位（通过搜索展示相关记录）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MBC-19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主要功能：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支持双网通讯：宽带有线传输 和 4G移动通讯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控制道闸、摄像枪、语音播报、显示屏等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包括在线模式（直接请求云端指令）与离线模式（自动放行，保留进出场记录）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设备信息与状态主动上报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02740" cy="8655050"/>
            <wp:effectExtent l="0" t="0" r="16510" b="12700"/>
            <wp:docPr id="46" name="图片 46" descr="智泊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智泊云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AOMP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新增云停车场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功能说明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云停车场定义：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为兼容原有模式的停车场，新增【云停车场】的概念，意为直连云端的停车场，其创建入口与配置内容有别于原有模式的停车场。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功能入口：【车场管理】</w:t>
      </w:r>
      <w:r>
        <w:rPr>
          <w:rFonts w:hint="eastAsia"/>
          <w:lang w:val="en-US" w:eastAsia="zh-CN"/>
        </w:rPr>
        <w:t>-【车场信息】-【新增云停车场】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点击【新增云停车场】弹出创建引导页面，按创建引导填写相关信息后完成创建，系统新增一个停车场信息，中途异常退出时，保存已填写信息，再次进入时可继续填写。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【角色管理】中增加此功能权限控制。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【操作日志】中增加此操作记录。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r>
        <w:drawing>
          <wp:inline distT="0" distB="0" distL="114300" distR="114300">
            <wp:extent cx="5266055" cy="2466340"/>
            <wp:effectExtent l="0" t="0" r="10795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826510"/>
            <wp:effectExtent l="0" t="0" r="6350" b="254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404735"/>
            <wp:effectExtent l="0" t="0" r="6985" b="571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0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51250"/>
            <wp:effectExtent l="0" t="0" r="6350" b="635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51250"/>
            <wp:effectExtent l="0" t="0" r="6350" b="635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p>
      <w:pPr>
        <w:numPr>
          <w:ilvl w:val="0"/>
          <w:numId w:val="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停车场基础信息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0440" cy="3247390"/>
            <wp:effectExtent l="0" t="0" r="10160" b="1016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停车场名称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同传统停车场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文件上传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停车场图片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同传统停车场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下拉框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区域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省、市、区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object>
                <v:shape id="_x0000_i1025" o:spt="75" type="#_x0000_t75" style="height:66pt;width:72.75pt;" o:ole="t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  <o:OLEObject Type="Embed" ProgID="Package" ShapeID="_x0000_i1025" DrawAspect="Icon" ObjectID="_1468075725" r:id="rId16">
                  <o:LockedField>false</o:LockedField>
                </o:OLEObject>
              </w:objec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地址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同传统停车场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停车场经纬度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同传统停车场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总车位数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同传统停车场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车场负责人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同传统停车场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手机号码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同传统停车场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停车场类型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同传统停车场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默认车牌简称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1~2个中文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标签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自定义编码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配置收费规则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配置界面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56865" cy="1990725"/>
            <wp:effectExtent l="0" t="0" r="63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文件上传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停车场收费图片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缴费离场时间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+</w:t>
            </w:r>
            <w:r>
              <w:rPr>
                <w:rFonts w:hint="eastAsia"/>
                <w:sz w:val="18"/>
                <w:szCs w:val="18"/>
                <w:lang w:eastAsia="zh-CN"/>
              </w:rPr>
              <w:t>分类规则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-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点击后新增【分类规则配置卡片】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drawing>
                <wp:inline distT="0" distB="0" distL="114300" distR="114300">
                  <wp:extent cx="1419860" cy="686435"/>
                  <wp:effectExtent l="0" t="0" r="8890" b="18415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860" cy="686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规则名称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默认显示：默认计费规则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单选按钮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免费规则</w:t>
            </w:r>
          </w:p>
        </w:tc>
        <w:tc>
          <w:tcPr>
            <w:tcW w:w="981" w:type="dxa"/>
            <w:vMerge w:val="restart"/>
            <w:tcBorders>
              <w:top w:val="single" w:color="00000A" w:sz="6" w:space="0"/>
              <w:left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必须选一个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默认选中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单选按钮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循环递增规则</w:t>
            </w:r>
          </w:p>
        </w:tc>
        <w:tc>
          <w:tcPr>
            <w:tcW w:w="981" w:type="dxa"/>
            <w:vMerge w:val="continue"/>
            <w:tcBorders>
              <w:left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选中后展开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drawing>
                <wp:inline distT="0" distB="0" distL="114300" distR="114300">
                  <wp:extent cx="1418590" cy="339725"/>
                  <wp:effectExtent l="0" t="0" r="10160" b="317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590" cy="33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单选按钮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按次固定规则</w:t>
            </w:r>
          </w:p>
        </w:tc>
        <w:tc>
          <w:tcPr>
            <w:tcW w:w="981" w:type="dxa"/>
            <w:vMerge w:val="continue"/>
            <w:tcBorders>
              <w:left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选中后展开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drawing>
                <wp:inline distT="0" distB="0" distL="114300" distR="114300">
                  <wp:extent cx="1421765" cy="405765"/>
                  <wp:effectExtent l="0" t="0" r="6985" b="133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765" cy="40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单选按钮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自定义规则</w:t>
            </w:r>
          </w:p>
        </w:tc>
        <w:tc>
          <w:tcPr>
            <w:tcW w:w="981" w:type="dxa"/>
            <w:vMerge w:val="continue"/>
            <w:tcBorders>
              <w:left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选中后展开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drawing>
                <wp:inline distT="0" distB="0" distL="114300" distR="114300">
                  <wp:extent cx="1421130" cy="929640"/>
                  <wp:effectExtent l="0" t="0" r="7620" b="381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130" cy="929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+时段</w:t>
            </w:r>
          </w:p>
        </w:tc>
        <w:tc>
          <w:tcPr>
            <w:tcW w:w="981" w:type="dxa"/>
            <w:tcBorders>
              <w:left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-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点击后增加【时段卡片】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循环递增规则</w:t>
            </w:r>
          </w:p>
          <w:p>
            <w:r>
              <w:drawing>
                <wp:inline distT="0" distB="0" distL="114300" distR="114300">
                  <wp:extent cx="1418590" cy="94615"/>
                  <wp:effectExtent l="0" t="0" r="10160" b="63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590" cy="9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按次固定规则</w:t>
            </w:r>
          </w:p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drawing>
                <wp:inline distT="0" distB="0" distL="114300" distR="114300">
                  <wp:extent cx="1421130" cy="123825"/>
                  <wp:effectExtent l="0" t="0" r="7620" b="9525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130" cy="12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循环递增规则配置</w:t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免费时长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非负整数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时间段控件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时段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默认：</w:t>
            </w:r>
          </w:p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00:00:00 至 23:59:59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+定额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-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点击后新增【定额】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drawing>
                <wp:inline distT="0" distB="0" distL="114300" distR="114300">
                  <wp:extent cx="1381125" cy="257175"/>
                  <wp:effectExtent l="0" t="0" r="9525" b="9525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+循环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-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点击后新增【循环】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>前面有定额：</w:t>
            </w:r>
          </w:p>
          <w:p>
            <w:r>
              <w:drawing>
                <wp:inline distT="0" distB="0" distL="114300" distR="114300">
                  <wp:extent cx="1421130" cy="200025"/>
                  <wp:effectExtent l="0" t="0" r="7620" b="9525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13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>前面无定额：</w:t>
            </w:r>
          </w:p>
          <w:p>
            <w:r>
              <w:drawing>
                <wp:inline distT="0" distB="0" distL="114300" distR="114300">
                  <wp:extent cx="1421765" cy="226060"/>
                  <wp:effectExtent l="0" t="0" r="6985" b="2540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765" cy="22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功能按钮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+封顶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-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点击后新增【封顶】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r>
              <w:drawing>
                <wp:inline distT="0" distB="0" distL="114300" distR="114300">
                  <wp:extent cx="1323975" cy="247650"/>
                  <wp:effectExtent l="0" t="0" r="9525" b="0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定额</w:t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定额范围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非负整数，单位分钟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金额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金额格式，单位元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</w:tbl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</w:t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循环单位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非负整数，单位分钟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金额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金额格式，单位元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</w:tbl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定额</w:t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金额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金额格式，单位元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</w:tbl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按次固定规则配置</w:t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免费时长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非负整数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时间段控件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时段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默认：</w:t>
            </w:r>
          </w:p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00:00:00 至 23:59:59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金额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金额格式，单位元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</w:tbl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自定义规则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车场配置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580890" cy="1743075"/>
            <wp:effectExtent l="0" t="0" r="10160" b="952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复选框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满位限行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勾选后展开总车位阈值与临停车位阈值的配置。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此处勾选了，对应的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VIP类型才能配置VIP满位阈值。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复选框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模糊匹配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复选框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强制异常放行原因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/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查费后超时时间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非负整数，单位分钟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/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免费离场倒计时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非负整数，单位分钟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/>
        </w:tc>
      </w:tr>
    </w:tbl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通道配置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24125" cy="923925"/>
            <wp:effectExtent l="0" t="0" r="9525" b="952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下拉框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入口通道数量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下拉选项：非负整数</w:t>
            </w:r>
          </w:p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默认：1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根据选择的数量显示通道配置框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drawing>
                <wp:inline distT="0" distB="0" distL="114300" distR="114300">
                  <wp:extent cx="1419225" cy="146685"/>
                  <wp:effectExtent l="0" t="0" r="9525" b="5715"/>
                  <wp:docPr id="1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4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下拉框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入口通道数量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是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下拉选项：非负整数</w:t>
            </w:r>
          </w:p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默认：1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根据选择的数量显示通道配置框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drawing>
                <wp:inline distT="0" distB="0" distL="114300" distR="114300">
                  <wp:extent cx="1419225" cy="146685"/>
                  <wp:effectExtent l="0" t="0" r="9525" b="5715"/>
                  <wp:docPr id="1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4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通道名称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带文字提示：通道名称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/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输入框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自定义编码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带文字提示：自定义编码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/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支付配置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981075" cy="1400175"/>
            <wp:effectExtent l="0" t="0" r="9525" b="952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page" w:tblpX="1909" w:tblpY="113"/>
        <w:tblW w:w="7899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045"/>
        <w:gridCol w:w="981"/>
        <w:gridCol w:w="2378"/>
        <w:gridCol w:w="2450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04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981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是否必填</w:t>
            </w:r>
          </w:p>
        </w:tc>
        <w:tc>
          <w:tcPr>
            <w:tcW w:w="2378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约束条件</w:t>
            </w:r>
          </w:p>
        </w:tc>
        <w:tc>
          <w:tcPr>
            <w:tcW w:w="2450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复选框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余额支付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默认不勾选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根据选择的数量显示通道配置框</w:t>
            </w:r>
          </w:p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drawing>
                <wp:inline distT="0" distB="0" distL="114300" distR="114300">
                  <wp:extent cx="1419225" cy="146685"/>
                  <wp:effectExtent l="0" t="0" r="9525" b="5715"/>
                  <wp:docPr id="2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4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复选框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微信支付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默认不勾选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勾选后展开配置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drawing>
                <wp:inline distT="0" distB="0" distL="114300" distR="114300">
                  <wp:extent cx="1419225" cy="979170"/>
                  <wp:effectExtent l="0" t="0" r="9525" b="11430"/>
                  <wp:docPr id="2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979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复选框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支付宝支付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默认不勾选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勾选后展开配置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drawing>
                <wp:inline distT="0" distB="0" distL="114300" distR="114300">
                  <wp:extent cx="1420495" cy="697230"/>
                  <wp:effectExtent l="0" t="0" r="8255" b="7620"/>
                  <wp:docPr id="25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495" cy="697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复选框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建行龙支付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默认不勾选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/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复选框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中信信用卡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默认不勾选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/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 w:eastAsia="宋体"/>
                <w:sz w:val="18"/>
                <w:szCs w:val="18"/>
                <w:lang w:eastAsia="zh-CN"/>
              </w:rPr>
              <w:t>复选框</w:t>
            </w:r>
          </w:p>
        </w:tc>
        <w:tc>
          <w:tcPr>
            <w:tcW w:w="104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支持自动扣费</w:t>
            </w:r>
          </w:p>
        </w:tc>
        <w:tc>
          <w:tcPr>
            <w:tcW w:w="981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否</w:t>
            </w:r>
          </w:p>
        </w:tc>
        <w:tc>
          <w:tcPr>
            <w:tcW w:w="2378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默认不勾选</w:t>
            </w:r>
          </w:p>
        </w:tc>
        <w:tc>
          <w:tcPr>
            <w:tcW w:w="2450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r>
              <w:drawing>
                <wp:inline distT="0" distB="0" distL="114300" distR="114300">
                  <wp:extent cx="1421765" cy="1124585"/>
                  <wp:effectExtent l="0" t="0" r="6985" b="18415"/>
                  <wp:docPr id="2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765" cy="1124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创建云停车场的同时对以下配置信息做初始化。</w:t>
      </w:r>
    </w:p>
    <w:tbl>
      <w:tblPr>
        <w:tblStyle w:val="1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3685"/>
        <w:gridCol w:w="1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shd w:val="clear" w:color="auto" w:fill="E7E6E6" w:themeFill="background2"/>
          </w:tcPr>
          <w:p>
            <w:pPr>
              <w:widowControl w:val="0"/>
              <w:jc w:val="both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3685" w:type="dxa"/>
            <w:shd w:val="clear" w:color="auto" w:fill="E7E6E6" w:themeFill="background2"/>
            <w:vAlign w:val="top"/>
          </w:tcPr>
          <w:p>
            <w:pPr>
              <w:widowControl w:val="0"/>
              <w:jc w:val="both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配置项</w:t>
            </w:r>
          </w:p>
        </w:tc>
        <w:tc>
          <w:tcPr>
            <w:tcW w:w="1996" w:type="dxa"/>
            <w:shd w:val="clear" w:color="auto" w:fill="E7E6E6" w:themeFill="background2"/>
            <w:vAlign w:val="top"/>
          </w:tcPr>
          <w:p>
            <w:pPr>
              <w:widowControl w:val="0"/>
              <w:jc w:val="both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停车场配置</w:t>
            </w: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标签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新增一个标签“云停车场”不可删除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tcBorders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快捷支付二维码停车场logo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一点停logo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tcBorders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快捷支付查询数限制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tcBorders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停车信息显示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全部显示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tcBorders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满位限行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tcBorders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模糊匹配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开启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tcBorders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免费离场倒计时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5分钟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tcBorders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查费后超时时间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5分钟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通道配置</w:t>
            </w: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通道启用禁用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禁用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临时车放行模式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自动放行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VIP放行模式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自动放行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VIP无在场放行模式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手动放行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多位多车VIP转临时车放行模式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自动放行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无通道权限VIP转临时车放行模式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自动放行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无牌车放行模式（手动、自动、自助进出）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自助进出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color w:val="000000" w:themeColor="text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语音开启时间</w:t>
            </w:r>
          </w:p>
        </w:tc>
        <w:tc>
          <w:tcPr>
            <w:tcW w:w="199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18"/>
                <w:szCs w:val="18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24小时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输出内容</w:t>
      </w:r>
    </w:p>
    <w:tbl>
      <w:tblPr>
        <w:tblStyle w:val="13"/>
        <w:tblpPr w:leftFromText="180" w:rightFromText="180" w:vertAnchor="text" w:horzAnchor="page" w:tblpX="1909" w:tblpY="113"/>
        <w:tblW w:w="8375" w:type="dxa"/>
        <w:tblInd w:w="108" w:type="dxa"/>
        <w:tblBorders>
          <w:top w:val="single" w:color="00000A" w:sz="4" w:space="0"/>
          <w:left w:val="single" w:color="00000A" w:sz="4" w:space="0"/>
          <w:bottom w:val="single" w:color="00000A" w:sz="6" w:space="0"/>
          <w:right w:val="single" w:color="00000A" w:sz="6" w:space="0"/>
          <w:insideH w:val="single" w:color="00000A" w:sz="6" w:space="0"/>
          <w:insideV w:val="single" w:color="00000A" w:sz="6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1045"/>
        <w:gridCol w:w="1705"/>
        <w:gridCol w:w="5625"/>
      </w:tblGrid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4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控件类型</w:t>
            </w:r>
          </w:p>
        </w:tc>
        <w:tc>
          <w:tcPr>
            <w:tcW w:w="1705" w:type="dxa"/>
            <w:tcBorders>
              <w:top w:val="single" w:color="00000A" w:sz="4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pct10" w:color="auto" w:fill="auto"/>
            <w:tcMar>
              <w:left w:w="100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5625" w:type="dxa"/>
            <w:tcBorders>
              <w:top w:val="single" w:color="00000A" w:sz="4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pct10" w:color="auto" w:fill="auto"/>
            <w:tcMar>
              <w:left w:w="103" w:type="dxa"/>
            </w:tcMar>
            <w:vAlign w:val="cente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eastAsia="zh-CN"/>
              </w:rPr>
              <w:t>其它</w:t>
            </w:r>
            <w:r>
              <w:rPr>
                <w:sz w:val="18"/>
                <w:szCs w:val="18"/>
                <w:lang w:eastAsia="en-US"/>
              </w:rPr>
              <w:t>说明</w:t>
            </w: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restart"/>
            <w:tcBorders>
              <w:top w:val="single" w:color="00000A" w:sz="6" w:space="0"/>
              <w:left w:val="single" w:color="00000A" w:sz="4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eastAsia="zh-CN"/>
              </w:rPr>
            </w:pP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00000A" w:sz="4" w:space="0"/>
            <w:left w:val="single" w:color="00000A" w:sz="4" w:space="0"/>
            <w:bottom w:val="single" w:color="00000A" w:sz="6" w:space="0"/>
            <w:right w:val="single" w:color="00000A" w:sz="6" w:space="0"/>
            <w:insideH w:val="single" w:color="00000A" w:sz="6" w:space="0"/>
            <w:insideV w:val="single" w:color="00000A" w:sz="6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045" w:type="dxa"/>
            <w:vMerge w:val="continue"/>
            <w:tcBorders>
              <w:left w:val="single" w:color="00000A" w:sz="4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 w:eastAsia="宋体"/>
                <w:sz w:val="18"/>
                <w:szCs w:val="18"/>
                <w:lang w:eastAsia="zh-CN"/>
              </w:rPr>
            </w:pPr>
          </w:p>
        </w:tc>
        <w:tc>
          <w:tcPr>
            <w:tcW w:w="1705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100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  <w:tc>
          <w:tcPr>
            <w:tcW w:w="5625" w:type="dxa"/>
            <w:tcBorders>
              <w:top w:val="single" w:color="00000A" w:sz="6" w:space="0"/>
              <w:left w:val="single" w:color="00000A" w:sz="4" w:space="0"/>
              <w:bottom w:val="single" w:color="00000A" w:sz="6" w:space="0"/>
              <w:right w:val="single" w:color="00000A" w:sz="4" w:space="0"/>
              <w:insideH w:val="single" w:sz="6" w:space="0"/>
              <w:insideV w:val="single" w:sz="4" w:space="0"/>
            </w:tcBorders>
            <w:shd w:val="clear" w:color="auto" w:fill="auto"/>
            <w:tcMar>
              <w:left w:w="103" w:type="dxa"/>
            </w:tcMar>
            <w:vAlign w:val="top"/>
          </w:tcPr>
          <w:p>
            <w:pPr>
              <w:rPr>
                <w:rFonts w:hint="eastAsia"/>
                <w:sz w:val="18"/>
                <w:szCs w:val="18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修改云停车场配置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功能说明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功能入口：【车场管理】</w:t>
      </w:r>
      <w:r>
        <w:rPr>
          <w:rFonts w:hint="eastAsia"/>
          <w:lang w:val="en-US" w:eastAsia="zh-CN"/>
        </w:rPr>
        <w:t>-【车场信息】-【修改配置】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原【修改上线配置】文案修改为【修改配置】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传统停车场与云停车场配置界面不同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点击【修改配置】弹出配置弹窗，配置弹窗可按切页目录切换配置内容，配置页显示当前配置。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配置弹窗包括：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停车场基础信息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收费规则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车场配置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通道配置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功能开通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修改配置后关闭弹窗，保存配置，配置生效。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r>
        <w:drawing>
          <wp:inline distT="0" distB="0" distL="114300" distR="114300">
            <wp:extent cx="5266055" cy="2466340"/>
            <wp:effectExtent l="0" t="0" r="10795" b="1016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611245"/>
            <wp:effectExtent l="0" t="0" r="8255" b="825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96335"/>
            <wp:effectExtent l="0" t="0" r="4445" b="1841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96335"/>
            <wp:effectExtent l="0" t="0" r="4445" b="1841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96335"/>
            <wp:effectExtent l="0" t="0" r="4445" b="1841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990465"/>
            <wp:effectExtent l="0" t="0" r="7620" b="63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9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757295"/>
            <wp:effectExtent l="0" t="0" r="5715" b="14605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显示及语音库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功能说明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功能入口：【车场管理】</w:t>
      </w:r>
      <w:r>
        <w:rPr>
          <w:rFonts w:hint="eastAsia"/>
          <w:lang w:val="en-US" w:eastAsia="zh-CN"/>
        </w:rPr>
        <w:t>-【显示及语音库】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包括列表展示、搜索、通配符说明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r>
        <w:drawing>
          <wp:inline distT="0" distB="0" distL="114300" distR="114300">
            <wp:extent cx="5267960" cy="5821045"/>
            <wp:effectExtent l="0" t="0" r="8890" b="825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82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POMP运营商权限模型调整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功能说明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POMP权限模型调整，所有运营商可</w:t>
      </w:r>
      <w:r>
        <w:rPr>
          <w:rFonts w:hint="eastAsia" w:eastAsia="宋体"/>
          <w:lang w:eastAsia="zh-CN"/>
        </w:rPr>
        <w:t>配置调整</w:t>
      </w:r>
      <w:r>
        <w:rPr>
          <w:rFonts w:hint="eastAsia"/>
        </w:rPr>
        <w:t>其上级运营商</w:t>
      </w:r>
      <w:r>
        <w:rPr>
          <w:rFonts w:hint="eastAsia" w:eastAsia="宋体"/>
          <w:lang w:eastAsia="zh-CN"/>
        </w:rPr>
        <w:t>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调整后，上级运营商具有下级运营商的数据权限，下级运营商的功能权限为与上级运营商的功能权限交集。上级运营商的超管拥有下级运营商的权限。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取消【运营商上线配置】，相关配置内容改到停车场上线配置。现有配置同步到对应停车场。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【顶级运营商管理】更名为【运营商管理】。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列表显示所有运营商信息，包括下级运营商。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列表新增列【上级运营商】，顶级运营商此项为空。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新增【配置上级运营商】功能，配置后需重新确认其下级运营商的功能权限。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新增【运营商隶属关系图】。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删除【运营商基本信息】中的，下级运营商关系树。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新增【只筛选顶级运营商】的复选框，无上级的运营商即属顶级运营商。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4150" cy="2383790"/>
            <wp:effectExtent l="0" t="0" r="12700" b="1651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 w:eastAsia="宋体"/>
          <w:lang w:eastAsia="zh-CN"/>
        </w:rPr>
        <w:t>维护超管账号权限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【用户管理】新增扫码绑定微信、新增【查看超管权限】</w:t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4150" cy="1859915"/>
            <wp:effectExtent l="0" t="0" r="12700" b="698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5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【运营商管理】新增【绑定超管微信】【超管列表】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3515" cy="2315845"/>
            <wp:effectExtent l="0" t="0" r="13335" b="825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>
      <w:pPr>
        <w:rPr>
          <w:rFonts w:hint="eastAsia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Arial">
    <w:panose1 w:val="020B0604020202020204"/>
    <w:charset w:val="80"/>
    <w:family w:val="swiss"/>
    <w:pitch w:val="default"/>
    <w:sig w:usb0="E0002AFF" w:usb1="C0007843" w:usb2="00000009" w:usb3="00000000" w:csb0="400001FF" w:csb1="FFFF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icrosoft YaHei UI">
    <w:altName w:val="宋体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冬青黑体简体中文 W3">
    <w:altName w:val="黑体"/>
    <w:panose1 w:val="020B0300000000000000"/>
    <w:charset w:val="86"/>
    <w:family w:val="swiss"/>
    <w:pitch w:val="default"/>
    <w:sig w:usb0="00000000" w:usb1="00000000" w:usb2="00000016" w:usb3="00000000" w:csb0="00060007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engXian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egoe UI Semibold">
    <w:panose1 w:val="020B0702040204020203"/>
    <w:charset w:val="00"/>
    <w:family w:val="auto"/>
    <w:pitch w:val="default"/>
    <w:sig w:usb0="E00002FF" w:usb1="4000A47B" w:usb2="00000001" w:usb3="00000000" w:csb0="2000019F" w:csb1="00000000"/>
  </w:font>
  <w:font w:name="MoolBoran">
    <w:panose1 w:val="020B0100010101010101"/>
    <w:charset w:val="00"/>
    <w:family w:val="auto"/>
    <w:pitch w:val="default"/>
    <w:sig w:usb0="8000000F" w:usb1="0000204A" w:usb2="00010000" w:usb3="00000000" w:csb0="00000001" w:csb1="00000000"/>
  </w:font>
  <w:font w:name="Microsoft Sans Serif">
    <w:panose1 w:val="020B0604020202020204"/>
    <w:charset w:val="00"/>
    <w:family w:val="auto"/>
    <w:pitch w:val="default"/>
    <w:sig w:usb0="E1002AFF" w:usb1="C0000002" w:usb2="00000008" w:usb3="00000000" w:csb0="200101FF" w:csb1="2028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Leelawadee">
    <w:panose1 w:val="020B0502040204020203"/>
    <w:charset w:val="00"/>
    <w:family w:val="auto"/>
    <w:pitch w:val="default"/>
    <w:sig w:usb0="810000AF" w:usb1="4000204B" w:usb2="00000000" w:usb3="00000000" w:csb0="20010001" w:csb1="00000000"/>
  </w:font>
  <w:font w:name="Khmer UI">
    <w:panose1 w:val="020B0502040204020203"/>
    <w:charset w:val="00"/>
    <w:family w:val="auto"/>
    <w:pitch w:val="default"/>
    <w:sig w:usb0="8000002F" w:usb1="0000204A" w:usb2="00010000" w:usb3="00000000" w:csb0="00000001" w:csb1="00000000"/>
  </w:font>
  <w:font w:name="Indie Flower">
    <w:panose1 w:val="02000000000000000000"/>
    <w:charset w:val="00"/>
    <w:family w:val="auto"/>
    <w:pitch w:val="default"/>
    <w:sig w:usb0="A000002F" w:usb1="5000004A" w:usb2="00000000" w:usb3="00000000" w:csb0="00000093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06F" w:usb1="1200FBEF" w:usb2="0004C000" w:usb3="00000000" w:csb0="00000001" w:csb1="4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Roboto Condensed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Poiret One">
    <w:panose1 w:val="02000000000000000000"/>
    <w:charset w:val="00"/>
    <w:family w:val="auto"/>
    <w:pitch w:val="default"/>
    <w:sig w:usb0="A000022F" w:usb1="5000004A" w:usb2="00000000" w:usb3="00000000" w:csb0="00000097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Lobster">
    <w:panose1 w:val="02000506000000020003"/>
    <w:charset w:val="00"/>
    <w:family w:val="auto"/>
    <w:pitch w:val="default"/>
    <w:sig w:usb0="A00002FF" w:usb1="5000205B" w:usb2="00000000" w:usb3="00000000" w:csb0="20000197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Kokil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DokChampa">
    <w:panose1 w:val="020B0604020202020204"/>
    <w:charset w:val="00"/>
    <w:family w:val="auto"/>
    <w:pitch w:val="default"/>
    <w:sig w:usb0="03000003" w:usb1="00000000" w:usb2="00000000" w:usb3="00000000" w:csb0="40010001" w:csb1="00000000"/>
  </w:font>
  <w:font w:name="Eucros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Estrangelo Edessa">
    <w:panose1 w:val="03080600000000000000"/>
    <w:charset w:val="00"/>
    <w:family w:val="auto"/>
    <w:pitch w:val="default"/>
    <w:sig w:usb0="80002043" w:usb1="00000000" w:usb2="00000080" w:usb3="00000000" w:csb0="00000001" w:csb1="00000000"/>
  </w:font>
  <w:font w:name="Euphemia">
    <w:panose1 w:val="020B0503040102020104"/>
    <w:charset w:val="00"/>
    <w:family w:val="auto"/>
    <w:pitch w:val="default"/>
    <w:sig w:usb0="8000006F" w:usb1="0000004A" w:usb2="00002000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iriam Fixed">
    <w:panose1 w:val="020B0509050101010101"/>
    <w:charset w:val="00"/>
    <w:family w:val="auto"/>
    <w:pitch w:val="default"/>
    <w:sig w:usb0="00000801" w:usb1="00000000" w:usb2="00000000" w:usb3="00000000" w:csb0="00000020" w:csb1="002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Plantagenet Cherokee">
    <w:panose1 w:val="02020602070100000000"/>
    <w:charset w:val="00"/>
    <w:family w:val="auto"/>
    <w:pitch w:val="default"/>
    <w:sig w:usb0="00000003" w:usb1="00000000" w:usb2="00001000" w:usb3="00000000" w:csb0="00000001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pen Sans">
    <w:panose1 w:val="020B0606030504020204"/>
    <w:charset w:val="86"/>
    <w:family w:val="auto"/>
    <w:pitch w:val="default"/>
    <w:sig w:usb0="E00002EF" w:usb1="4000205B" w:usb2="00000028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叶根友毛笔行书2.0版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Yu Gothic UI">
    <w:altName w:val="Meiryo UI"/>
    <w:panose1 w:val="020B0500000000000000"/>
    <w:charset w:val="80"/>
    <w:family w:val="auto"/>
    <w:pitch w:val="default"/>
    <w:sig w:usb0="00000000" w:usb1="00000000" w:usb2="00000016" w:usb3="00000000" w:csb0="2002009F" w:csb1="00000000"/>
  </w:font>
  <w:font w:name="Leelawadee UI">
    <w:altName w:val="Leelawadee"/>
    <w:panose1 w:val="020B0502040204020203"/>
    <w:charset w:val="00"/>
    <w:family w:val="auto"/>
    <w:pitch w:val="default"/>
    <w:sig w:usb0="00000000" w:usb1="00000000" w:usb2="00010000" w:usb3="00000001" w:csb0="00010101" w:csb1="00000000"/>
  </w:font>
  <w:font w:name="Yu Gothic UI Light">
    <w:altName w:val="Meiryo UI"/>
    <w:panose1 w:val="020B0300000000000000"/>
    <w:charset w:val="80"/>
    <w:family w:val="auto"/>
    <w:pitch w:val="default"/>
    <w:sig w:usb0="00000000" w:usb1="00000000" w:usb2="00000016" w:usb3="00000000" w:csb0="200200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 Semibold">
    <w:altName w:val="Meiryo UI"/>
    <w:panose1 w:val="020B0700000000000000"/>
    <w:charset w:val="80"/>
    <w:family w:val="auto"/>
    <w:pitch w:val="default"/>
    <w:sig w:usb0="00000000" w:usb1="00000000" w:usb2="00000016" w:usb3="00000000" w:csb0="2002009F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DengXian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LucidaGrande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宋?">
    <w:altName w:val="宋体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ZenIc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ewZenIc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50"/>
    <w:family w:val="auto"/>
    <w:pitch w:val="default"/>
    <w:sig w:usb0="80000287" w:usb1="280F3C52" w:usb2="00000016" w:usb3="00000000" w:csb0="0004001F" w:csb1="00000000"/>
  </w:font>
  <w:font w:name="Heiti SC Light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Liberation Serif">
    <w:altName w:val="宋体"/>
    <w:panose1 w:val="02020603050405020304"/>
    <w:charset w:val="86"/>
    <w:family w:val="roman"/>
    <w:pitch w:val="default"/>
    <w:sig w:usb0="00000000" w:usb1="00000000" w:usb2="00000021" w:usb3="00000000" w:csb0="600001BF" w:csb1="DFF70000"/>
  </w:font>
  <w:font w:name="Cambria">
    <w:panose1 w:val="02040503050406030204"/>
    <w:charset w:val="86"/>
    <w:family w:val="roman"/>
    <w:pitch w:val="default"/>
    <w:sig w:usb0="E00002FF" w:usb1="400004FF" w:usb2="00000000" w:usb3="00000000" w:csb0="2000019F" w:csb1="00000000"/>
  </w:font>
  <w:font w:name="Arial">
    <w:panose1 w:val="020B0604020202020204"/>
    <w:charset w:val="86"/>
    <w:family w:val="roman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roman"/>
    <w:pitch w:val="default"/>
    <w:sig w:usb0="E10002FF" w:usb1="4000ACFF" w:usb2="00000009" w:usb3="00000000" w:csb0="2000019F" w:csb1="00000000"/>
  </w:font>
  <w:font w:name="Liberation Sans">
    <w:altName w:val="宋体"/>
    <w:panose1 w:val="020B0604020202020204"/>
    <w:charset w:val="86"/>
    <w:family w:val="swiss"/>
    <w:pitch w:val="default"/>
    <w:sig w:usb0="00000000" w:usb1="00000000" w:usb2="00000021" w:usb3="00000000" w:csb0="600001BF" w:csb1="DFF70000"/>
  </w:font>
  <w:font w:name="宋?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幼圆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µÈÏß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F3F2B"/>
    <w:multiLevelType w:val="singleLevel"/>
    <w:tmpl w:val="59FF3F2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1D06D5"/>
    <w:multiLevelType w:val="multilevel"/>
    <w:tmpl w:val="5A1D06D5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75"/>
        </w:tabs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tabs>
          <w:tab w:val="left" w:pos="1151"/>
        </w:tabs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tabs>
          <w:tab w:val="left" w:pos="1296"/>
        </w:tabs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tabs>
          <w:tab w:val="left" w:pos="1440"/>
        </w:tabs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tabs>
          <w:tab w:val="left" w:pos="1583"/>
        </w:tabs>
        <w:ind w:left="1583" w:leftChars="0" w:hanging="1583" w:firstLineChars="0"/>
      </w:pPr>
      <w:rPr>
        <w:rFonts w:hint="default"/>
      </w:rPr>
    </w:lvl>
  </w:abstractNum>
  <w:abstractNum w:abstractNumId="2">
    <w:nsid w:val="5ABCDF5F"/>
    <w:multiLevelType w:val="singleLevel"/>
    <w:tmpl w:val="5ABCDF5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BCE3AC"/>
    <w:multiLevelType w:val="singleLevel"/>
    <w:tmpl w:val="5ABCE3A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ABF1BA6"/>
    <w:multiLevelType w:val="multilevel"/>
    <w:tmpl w:val="5ABF1BA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ABF2203"/>
    <w:multiLevelType w:val="singleLevel"/>
    <w:tmpl w:val="5ABF220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8069C"/>
    <w:rsid w:val="00A143E0"/>
    <w:rsid w:val="01380371"/>
    <w:rsid w:val="01942CDE"/>
    <w:rsid w:val="02E15A20"/>
    <w:rsid w:val="03181295"/>
    <w:rsid w:val="046B4393"/>
    <w:rsid w:val="06BB615B"/>
    <w:rsid w:val="07F74C87"/>
    <w:rsid w:val="080D3013"/>
    <w:rsid w:val="09260ED7"/>
    <w:rsid w:val="0BB81B85"/>
    <w:rsid w:val="0BBE3A34"/>
    <w:rsid w:val="0BD0701B"/>
    <w:rsid w:val="0CEC426D"/>
    <w:rsid w:val="0D4C5F0E"/>
    <w:rsid w:val="0DF3145B"/>
    <w:rsid w:val="0E8926D4"/>
    <w:rsid w:val="0E8E6A1F"/>
    <w:rsid w:val="0F550AD5"/>
    <w:rsid w:val="0F5E3E93"/>
    <w:rsid w:val="10844C3D"/>
    <w:rsid w:val="11826DF2"/>
    <w:rsid w:val="14AA4311"/>
    <w:rsid w:val="164B334F"/>
    <w:rsid w:val="16A17F6D"/>
    <w:rsid w:val="17044B19"/>
    <w:rsid w:val="176942E5"/>
    <w:rsid w:val="17B12DF0"/>
    <w:rsid w:val="18073FEC"/>
    <w:rsid w:val="19323D94"/>
    <w:rsid w:val="1BE1607B"/>
    <w:rsid w:val="1BFF7865"/>
    <w:rsid w:val="1C091B6B"/>
    <w:rsid w:val="1C4F452D"/>
    <w:rsid w:val="1CF02F42"/>
    <w:rsid w:val="1F7F3571"/>
    <w:rsid w:val="1FD61B28"/>
    <w:rsid w:val="20986F6B"/>
    <w:rsid w:val="21C94BC4"/>
    <w:rsid w:val="22751627"/>
    <w:rsid w:val="2362701D"/>
    <w:rsid w:val="24487126"/>
    <w:rsid w:val="246C5524"/>
    <w:rsid w:val="24B05CA2"/>
    <w:rsid w:val="24BE5F9D"/>
    <w:rsid w:val="255E011A"/>
    <w:rsid w:val="25677978"/>
    <w:rsid w:val="263E1F9A"/>
    <w:rsid w:val="26C40137"/>
    <w:rsid w:val="278B3A8C"/>
    <w:rsid w:val="28540F7D"/>
    <w:rsid w:val="28AA71FC"/>
    <w:rsid w:val="29921B26"/>
    <w:rsid w:val="2B0F5819"/>
    <w:rsid w:val="2BF06888"/>
    <w:rsid w:val="2CA4736C"/>
    <w:rsid w:val="2D3A4526"/>
    <w:rsid w:val="317C5EB2"/>
    <w:rsid w:val="320408B8"/>
    <w:rsid w:val="33493A83"/>
    <w:rsid w:val="345814C8"/>
    <w:rsid w:val="34EE1411"/>
    <w:rsid w:val="36954B32"/>
    <w:rsid w:val="385B16DB"/>
    <w:rsid w:val="39017ABE"/>
    <w:rsid w:val="3B9C1765"/>
    <w:rsid w:val="3CB3271F"/>
    <w:rsid w:val="3D9D6E46"/>
    <w:rsid w:val="3E246C58"/>
    <w:rsid w:val="3E5E2A46"/>
    <w:rsid w:val="3FEA7BF8"/>
    <w:rsid w:val="408275F8"/>
    <w:rsid w:val="40FD70CE"/>
    <w:rsid w:val="41787B83"/>
    <w:rsid w:val="442F2BB3"/>
    <w:rsid w:val="453C0EF9"/>
    <w:rsid w:val="469D1494"/>
    <w:rsid w:val="48202FFD"/>
    <w:rsid w:val="488964D2"/>
    <w:rsid w:val="489647B2"/>
    <w:rsid w:val="48AB22F7"/>
    <w:rsid w:val="48C514D1"/>
    <w:rsid w:val="4BE4725C"/>
    <w:rsid w:val="4CBF45B2"/>
    <w:rsid w:val="4DA95CAC"/>
    <w:rsid w:val="4DB94653"/>
    <w:rsid w:val="4EE93D0F"/>
    <w:rsid w:val="4F067ADE"/>
    <w:rsid w:val="50396A25"/>
    <w:rsid w:val="50897F6A"/>
    <w:rsid w:val="530B73C9"/>
    <w:rsid w:val="5398602B"/>
    <w:rsid w:val="54EA75B8"/>
    <w:rsid w:val="559D6605"/>
    <w:rsid w:val="56E14E3A"/>
    <w:rsid w:val="56E84ED6"/>
    <w:rsid w:val="585741EC"/>
    <w:rsid w:val="595F6E02"/>
    <w:rsid w:val="5AEB780F"/>
    <w:rsid w:val="5D1B718C"/>
    <w:rsid w:val="5E001258"/>
    <w:rsid w:val="5E5A0D38"/>
    <w:rsid w:val="602019AC"/>
    <w:rsid w:val="6158185C"/>
    <w:rsid w:val="61B60AA9"/>
    <w:rsid w:val="61D947B4"/>
    <w:rsid w:val="63297434"/>
    <w:rsid w:val="64E82694"/>
    <w:rsid w:val="650B04DF"/>
    <w:rsid w:val="65C14294"/>
    <w:rsid w:val="677E0334"/>
    <w:rsid w:val="68637DEB"/>
    <w:rsid w:val="69E46DDA"/>
    <w:rsid w:val="6B5B45AA"/>
    <w:rsid w:val="6B5B6EC6"/>
    <w:rsid w:val="6C6D2BA9"/>
    <w:rsid w:val="6D29033A"/>
    <w:rsid w:val="6D302775"/>
    <w:rsid w:val="6D6F27B9"/>
    <w:rsid w:val="6E921EB0"/>
    <w:rsid w:val="70FC4E66"/>
    <w:rsid w:val="712C1343"/>
    <w:rsid w:val="722F74D5"/>
    <w:rsid w:val="7305079A"/>
    <w:rsid w:val="731139A4"/>
    <w:rsid w:val="73D9600A"/>
    <w:rsid w:val="74181B6D"/>
    <w:rsid w:val="74996D2F"/>
    <w:rsid w:val="74D81DC7"/>
    <w:rsid w:val="75781ADB"/>
    <w:rsid w:val="78FA521B"/>
    <w:rsid w:val="79DC1881"/>
    <w:rsid w:val="7A584204"/>
    <w:rsid w:val="7C0D45CC"/>
    <w:rsid w:val="7CBF07BC"/>
    <w:rsid w:val="7E0B1285"/>
    <w:rsid w:val="7FC5539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No Spacing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6">
    <w:name w:val="AxureImageParagraph"/>
    <w:basedOn w:val="1"/>
    <w:qFormat/>
    <w:uiPriority w:val="0"/>
    <w:pPr>
      <w:jc w:val="center"/>
    </w:pPr>
  </w:style>
  <w:style w:type="paragraph" w:customStyle="1" w:styleId="17">
    <w:name w:val="小标题"/>
    <w:basedOn w:val="6"/>
    <w:qFormat/>
    <w:uiPriority w:val="0"/>
    <w:rPr>
      <w:sz w:val="20"/>
    </w:rPr>
  </w:style>
  <w:style w:type="paragraph" w:customStyle="1" w:styleId="18">
    <w:name w:val="表格文字"/>
    <w:basedOn w:val="1"/>
    <w:qFormat/>
    <w:uiPriority w:val="0"/>
    <w:pPr>
      <w:widowControl w:val="0"/>
      <w:spacing w:before="25" w:after="25" w:line="300" w:lineRule="auto"/>
      <w:jc w:val="both"/>
    </w:pPr>
    <w:rPr>
      <w:spacing w:val="1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glossaryDocument" Target="glossary/document.xml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emf"/><Relationship Id="rId16" Type="http://schemas.openxmlformats.org/officeDocument/2006/relationships/oleObject" Target="embeddings/oleObject1.bin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832f3838-a289-4571-91bb-5dfc4fbf259d}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2f3838-a289-4571-91bb-5dfc4fbf259d}"/>
      </w:docPartPr>
      <w:docPartBody>
        <w:p>
          <w:r>
            <w:rPr>
              <w:rFonts w:asciiTheme="majorHAnsi" w:hAnsiTheme="majorHAnsi" w:eastAsiaTheme="majorEastAsia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{f5a51892-da6e-4292-b6b9-2c6a2d7bce30}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5a51892-da6e-4292-b6b9-2c6a2d7bce30}"/>
      </w:docPartPr>
      <w:docPartBody>
        <w:p>
          <w:r>
            <w:rPr>
              <w:rFonts w:asciiTheme="majorHAnsi" w:hAnsiTheme="majorHAnsi" w:eastAsiaTheme="majorEastAsia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2017-11-28T06:31:00Z</dcterms:created>
  <dc:creator>AKE</dc:creator>
  <cp:lastModifiedBy>嘉灵 charlene</cp:lastModifiedBy>
  <dcterms:modified xsi:type="dcterms:W3CDTF">2018-04-08T14:26:00Z</dcterms:modified>
  <dc:subject>产品需求说明书v1</dc:subject>
  <dc:title>微信云停车系统V1.0.0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