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9061"/>
      <w:bookmarkStart w:id="1" w:name="_Toc32458"/>
      <w:r>
        <w:rPr>
          <w:rFonts w:hint="eastAsia" w:ascii="黑体" w:hAnsi="黑体" w:eastAsia="黑体" w:cs="黑体"/>
          <w:sz w:val="44"/>
          <w:szCs w:val="44"/>
          <w:lang w:val="en-US" w:eastAsia="zh-CN"/>
        </w:rPr>
        <w:t>DMS视频探测器设备监控</w:t>
      </w:r>
      <w:bookmarkEnd w:id="0"/>
      <w:bookmarkEnd w:id="1"/>
    </w:p>
    <w:p>
      <w:pPr>
        <w:jc w:val="center"/>
        <w:rPr>
          <w:rFonts w:hint="eastAsia"/>
          <w:bCs/>
          <w:u w:val="single"/>
        </w:rPr>
      </w:pPr>
      <w:bookmarkStart w:id="94" w:name="_GoBack"/>
      <w:bookmarkEnd w:id="94"/>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V1.4</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V1.4</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13422"/>
      <w:bookmarkStart w:id="3" w:name="_Toc29727"/>
      <w:bookmarkStart w:id="4" w:name="_Toc21290"/>
      <w:bookmarkStart w:id="5" w:name="_Toc15308"/>
      <w:bookmarkStart w:id="6" w:name="_Toc13723"/>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1822"/>
        <w:gridCol w:w="1422"/>
        <w:gridCol w:w="1400"/>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29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8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40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92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V1.2</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增加筛选搜索项-车牌号码、车位编号、设备状态；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筛选搜索项下拉列表改为中文显示；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增加“一键自动控灯”的按钮；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更换手动和自动控灯的标识显示；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监控页面按“离线-在线手动-在线自动”的顺序排列；</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去掉“切换状态”按钮，点击灯可自动切换状态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增加刷新按钮；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时间只显示HH:mm:ss。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V1.3</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2018-04-19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0"/>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（1）调整页面布局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V1.4</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2018-05-04</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0"/>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（1）调整页面布局</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27762"/>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_Toc32458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DMS视频探测器设备监控</w:t>
      </w:r>
      <w:r>
        <w:tab/>
      </w:r>
      <w:r>
        <w:fldChar w:fldCharType="begin"/>
      </w:r>
      <w:r>
        <w:instrText xml:space="preserve"> PAGEREF _Toc32458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_Toc13723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_Toc13723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_Toc27762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_Toc27762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_Toc4028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_Toc4028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_Toc350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_Toc350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_Toc16679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_Toc16679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_Toc3629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_Toc3629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_Toc25258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_Toc25258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_Toc20598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_Toc20598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_Toc11129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_Toc11129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_Toc15026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_Toc15026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_Toc17391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_Toc17391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_Toc31850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_Toc31850 </w:instrText>
      </w:r>
      <w:r>
        <w:fldChar w:fldCharType="separate"/>
      </w:r>
      <w:r>
        <w:t>11</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_Toc11151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_Toc11151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_Toc21714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_Toc21714 </w:instrText>
      </w:r>
      <w:r>
        <w:fldChar w:fldCharType="separate"/>
      </w:r>
      <w:r>
        <w:t>15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_Toc13224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_Toc13224 </w:instrText>
      </w:r>
      <w:r>
        <w:fldChar w:fldCharType="separate"/>
      </w:r>
      <w:r>
        <w:t>15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_Toc19253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_Toc19253 </w:instrText>
      </w:r>
      <w:r>
        <w:fldChar w:fldCharType="separate"/>
      </w:r>
      <w:r>
        <w:t>15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_Toc23697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_Toc23697 </w:instrText>
      </w:r>
      <w:r>
        <w:fldChar w:fldCharType="separate"/>
      </w:r>
      <w:r>
        <w:t>16</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_Toc997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_Toc997 </w:instrText>
      </w:r>
      <w:r>
        <w:fldChar w:fldCharType="separate"/>
      </w:r>
      <w:r>
        <w:t>16</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_Toc4444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_Toc4444 </w:instrText>
      </w:r>
      <w:r>
        <w:fldChar w:fldCharType="separate"/>
      </w:r>
      <w:r>
        <w:t>16</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9753"/>
      <w:bookmarkStart w:id="10" w:name="_Toc31555"/>
      <w:bookmarkStart w:id="11" w:name="_Toc15886"/>
      <w:bookmarkStart w:id="12" w:name="_Toc2143"/>
      <w:bookmarkStart w:id="13" w:name="_Toc4028"/>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25502"/>
      <w:bookmarkStart w:id="15" w:name="_Toc31019"/>
      <w:bookmarkStart w:id="16" w:name="_Toc15109"/>
      <w:bookmarkStart w:id="17" w:name="_Toc5568"/>
      <w:bookmarkStart w:id="18" w:name="_Toc19106"/>
      <w:bookmarkStart w:id="19" w:name="_Toc350"/>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24329"/>
      <w:bookmarkStart w:id="21" w:name="_Toc5256"/>
      <w:bookmarkStart w:id="22" w:name="_Toc29668"/>
      <w:bookmarkStart w:id="23" w:name="_Toc10609"/>
      <w:bookmarkStart w:id="24" w:name="_Toc20322"/>
      <w:bookmarkStart w:id="25" w:name="_Toc16679"/>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8268"/>
      <w:bookmarkStart w:id="27" w:name="_Toc10744"/>
      <w:bookmarkStart w:id="28" w:name="_Toc24270"/>
      <w:bookmarkStart w:id="29" w:name="_Toc18131"/>
      <w:bookmarkStart w:id="30" w:name="_Toc23979"/>
      <w:bookmarkStart w:id="31" w:name="_Toc3629"/>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10993"/>
      <w:bookmarkStart w:id="33" w:name="_Toc26045"/>
      <w:bookmarkStart w:id="34" w:name="_Toc22156"/>
      <w:bookmarkStart w:id="35" w:name="_Toc5709"/>
      <w:bookmarkStart w:id="36" w:name="_Toc25258"/>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6460"/>
      <w:bookmarkStart w:id="38" w:name="_Toc13346"/>
      <w:bookmarkStart w:id="39" w:name="_Toc20145"/>
      <w:bookmarkStart w:id="40" w:name="_Toc2273"/>
      <w:bookmarkStart w:id="41" w:name="_Toc27684"/>
      <w:bookmarkStart w:id="42" w:name="_Toc20598"/>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11129"/>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873750" cy="3454400"/>
            <wp:effectExtent l="0" t="0" r="6350" b="0"/>
            <wp:docPr id="2" name="图片 2" descr="DMS视频探测器设备监控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MS视频探测器设备监控功能点"/>
                    <pic:cNvPicPr>
                      <a:picLocks noChangeAspect="1"/>
                    </pic:cNvPicPr>
                  </pic:nvPicPr>
                  <pic:blipFill>
                    <a:blip r:embed="rId4"/>
                    <a:stretch>
                      <a:fillRect/>
                    </a:stretch>
                  </pic:blipFill>
                  <pic:spPr>
                    <a:xfrm>
                      <a:off x="0" y="0"/>
                      <a:ext cx="5873750" cy="345440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3212"/>
      <w:bookmarkStart w:id="45" w:name="_Toc28071"/>
      <w:bookmarkStart w:id="46" w:name="_Toc8745"/>
      <w:bookmarkStart w:id="47" w:name="_Toc28457"/>
      <w:bookmarkStart w:id="48" w:name="_Toc15026"/>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17391"/>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lang w:val="en-US" w:eastAsia="zh-CN"/>
        </w:rPr>
      </w:pPr>
      <w:r>
        <w:rPr>
          <w:rFonts w:hint="eastAsia" w:ascii="黑体" w:hAnsi="黑体" w:eastAsia="黑体" w:cs="黑体"/>
          <w:sz w:val="21"/>
          <w:szCs w:val="21"/>
          <w:lang w:val="en-US" w:eastAsia="zh-CN"/>
        </w:rPr>
        <w:t>正常模式（默认显示正常模式）：隐藏设备ID和区域信息</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44565" cy="2763520"/>
            <wp:effectExtent l="0" t="0" r="635" b="5080"/>
            <wp:docPr id="8" name="图片 8" descr="E:\工作夹\AKE\2017\-产品\原型导出图片\DMS\V1.3改5\正常模式.png正常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V1.3改5\正常模式.png正常模式"/>
                    <pic:cNvPicPr>
                      <a:picLocks noChangeAspect="1"/>
                    </pic:cNvPicPr>
                  </pic:nvPicPr>
                  <pic:blipFill>
                    <a:blip r:embed="rId5"/>
                    <a:srcRect/>
                    <a:stretch>
                      <a:fillRect/>
                    </a:stretch>
                  </pic:blipFill>
                  <pic:spPr>
                    <a:xfrm>
                      <a:off x="0" y="0"/>
                      <a:ext cx="6044565" cy="276352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当鼠标移入到监控抓拍图时在右上角显示摄像头ID和拍摄时间，移出时隐藏；当鼠标移入到灯时显示区域和灯ID，移出时隐藏。</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pPr>
      <w:r>
        <w:drawing>
          <wp:inline distT="0" distB="0" distL="114300" distR="114300">
            <wp:extent cx="6151880" cy="2844165"/>
            <wp:effectExtent l="0" t="0" r="7620" b="635"/>
            <wp:docPr id="4" name="图片 2" descr="E:\工作夹\AKE\2017\-产品\原型导出图片\DMS\V1.3改5\灯ID.png灯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E:\工作夹\AKE\2017\-产品\原型导出图片\DMS\V1.3改5\灯ID.png灯ID"/>
                    <pic:cNvPicPr>
                      <a:picLocks noChangeAspect="1"/>
                    </pic:cNvPicPr>
                  </pic:nvPicPr>
                  <pic:blipFill>
                    <a:blip r:embed="rId6"/>
                    <a:srcRect/>
                    <a:stretch>
                      <a:fillRect/>
                    </a:stretch>
                  </pic:blipFill>
                  <pic:spPr>
                    <a:xfrm>
                      <a:off x="0" y="0"/>
                      <a:ext cx="6151880" cy="2844165"/>
                    </a:xfrm>
                    <a:prstGeom prst="rect">
                      <a:avLst/>
                    </a:prstGeom>
                    <a:noFill/>
                    <a:ln w="9525">
                      <a:noFill/>
                    </a:ln>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lang w:val="en-US" w:eastAsia="zh-CN"/>
        </w:rPr>
      </w:pPr>
      <w:r>
        <w:drawing>
          <wp:inline distT="0" distB="0" distL="114300" distR="114300">
            <wp:extent cx="6130925" cy="2834640"/>
            <wp:effectExtent l="0" t="0" r="3175" b="10160"/>
            <wp:docPr id="5" name="图片 3" descr="E:\工作夹\AKE\2017\-产品\原型导出图片\DMS\V1.3改5\摄像头和时间ID.png摄像头和时间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E:\工作夹\AKE\2017\-产品\原型导出图片\DMS\V1.3改5\摄像头和时间ID.png摄像头和时间ID"/>
                    <pic:cNvPicPr>
                      <a:picLocks noChangeAspect="1"/>
                    </pic:cNvPicPr>
                  </pic:nvPicPr>
                  <pic:blipFill>
                    <a:blip r:embed="rId7"/>
                    <a:srcRect/>
                    <a:stretch>
                      <a:fillRect/>
                    </a:stretch>
                  </pic:blipFill>
                  <pic:spPr>
                    <a:xfrm>
                      <a:off x="0" y="0"/>
                      <a:ext cx="6130925" cy="2834640"/>
                    </a:xfrm>
                    <a:prstGeom prst="rect">
                      <a:avLst/>
                    </a:prstGeom>
                    <a:noFill/>
                    <a:ln w="9525">
                      <a:noFill/>
                    </a:ln>
                  </pic:spPr>
                </pic:pic>
              </a:graphicData>
            </a:graphic>
          </wp:inline>
        </w:drawing>
      </w:r>
    </w:p>
    <w:p>
      <w:pPr>
        <w:rPr>
          <w:rFonts w:hint="eastAsia" w:ascii="黑体" w:hAnsi="黑体" w:eastAsia="黑体" w:cs="黑体"/>
          <w:b w:val="0"/>
          <w:bCs w:val="0"/>
          <w:sz w:val="24"/>
          <w:szCs w:val="24"/>
          <w:lang w:val="en-US" w:eastAsia="zh-CN"/>
        </w:rPr>
      </w:pP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lang w:val="en-US" w:eastAsia="zh-CN"/>
        </w:rPr>
      </w:pPr>
      <w:r>
        <w:rPr>
          <w:rFonts w:hint="eastAsia" w:ascii="黑体" w:hAnsi="黑体" w:eastAsia="黑体" w:cs="黑体"/>
          <w:sz w:val="21"/>
          <w:szCs w:val="21"/>
          <w:lang w:val="en-US" w:eastAsia="zh-CN"/>
        </w:rPr>
        <w:t>调试模式：显示区域和设备ID信息</w:t>
      </w:r>
    </w:p>
    <w:p>
      <w:pPr>
        <w:jc w:val="cente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86805" cy="2871470"/>
            <wp:effectExtent l="0" t="0" r="10795" b="11430"/>
            <wp:docPr id="3" name="图片 3" descr="E:\工作夹\AKE\2017\-产品\原型导出图片\DMS\V1.3改4\调试模式.png调试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工作夹\AKE\2017\-产品\原型导出图片\DMS\V1.3改4\调试模式.png调试模式"/>
                    <pic:cNvPicPr>
                      <a:picLocks noChangeAspect="1"/>
                    </pic:cNvPicPr>
                  </pic:nvPicPr>
                  <pic:blipFill>
                    <a:blip r:embed="rId8"/>
                    <a:srcRect/>
                    <a:stretch>
                      <a:fillRect/>
                    </a:stretch>
                  </pic:blipFill>
                  <pic:spPr>
                    <a:xfrm>
                      <a:off x="0" y="0"/>
                      <a:ext cx="6186805" cy="287147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5"/>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5"/>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每页展示30组设备页面，每行3组，共10行，采用下拉滚动条形式；</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设备监控页面按照“在线手动-离线-在线自动”的顺序进行排序；同个分类内按区域进行排序，如按ABCDE区进行排序；区域内按车位编号进行排序。如A区-100，A区101，A区102……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10" o:title=""/>
            <o:lock v:ext="edit" aspectratio="t"/>
            <w10:wrap type="none"/>
            <w10:anchorlock/>
          </v:shape>
          <o:OLEObject Type="Embed" ProgID="Excel.Sheet.8" ShapeID="_x0000_i1025" DrawAspect="Icon" ObjectID="_1468075725" r:id="rId9">
            <o:LockedField>false</o:LockedField>
          </o:OLEObject>
        </w:objec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车位全部占用时为红灯，车位有空闲时为绿灯；灯离线时为灰灯</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点击“置绿”将红灯切换为绿灯，点击“置红”将绿灯切换为红灯，此时控灯模式为手动控灯。</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切换为手动控灯模式后，显示“切回自动”按钮，并变换为在线手动控灯模式的区域框的填充色。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展示摄像头的抓拍图片，以灯为单位展示30组图片（每组2张，共60张）。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HH:mm:ss格式，精确到秒。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区域框</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卡片组件</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（1）只要有一个设备离线的状态下，区域框的填充色为灰色；设备均在线、手动控灯模式下，区域框的填充色为蓝色；设备均在线、自动控灯模式下，区域框的填充色为绿色；（实际颜色以UI设计稿为准）</w:t>
            </w:r>
          </w:p>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（4）灯在线的情况下，灯为可控状态。</w:t>
            </w:r>
          </w:p>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（5）摄像头离线的情况下，不显示图片。</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3"/>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车牌号码</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center"/>
          </w:tcPr>
          <w:p>
            <w:pPr>
              <w:widowControl w:val="0"/>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（1）车牌号码筛选搜索框；</w:t>
            </w:r>
          </w:p>
          <w:p>
            <w:pPr>
              <w:widowControl w:val="0"/>
              <w:numPr>
                <w:ilvl w:val="0"/>
                <w:numId w:val="0"/>
              </w:numPr>
              <w:ind w:left="0" w:leftChars="0" w:firstLine="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8"/>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在线状态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center"/>
          </w:tcPr>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在线状态包筛选搜索框；</w:t>
            </w:r>
          </w:p>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含全部、在线和离线三种状态；</w:t>
            </w:r>
          </w:p>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1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11"/>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11"/>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进入调试</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（1）点击“进入调试”按钮，切换为调试模式界面</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（2）调试模式即为正常模式的详细版，显示了设备的ID信息。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恢复正常</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（1）点击“恢复正常”按钮，恢复到正常模式；</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（2）即隐藏设备ID、区域等信息。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一键自动</w:t>
            </w:r>
          </w:p>
        </w:tc>
        <w:tc>
          <w:tcPr>
            <w:tcW w:w="6179" w:type="dxa"/>
            <w:vAlign w:val="top"/>
          </w:tcPr>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（1）点击“一键自动”按钮，可将所有的在线手动控灯模式都转变为自动控灯模式；</w:t>
            </w:r>
          </w:p>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（2）切换为自动控灯模式后，区域框的填充色要相应改变，且隐藏区域框内的“自动控灯”按钮。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置红/置绿</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（1）亮绿灯时，按钮为“置红”；亮红灯时，按钮为置绿；</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（2）点击“置红”将绿灯切换为红灯；点击“置绿”将红灯切换为绿灯，此时控灯模式为手动控灯。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（2）切换为手动控灯模式后，显示“切回自动”按钮，并变换为在线手动控灯模式的区域框的填充色。</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（3）灯离线时隐藏“置红”“置绿”和“切回自动”按钮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切回自动</w:t>
            </w:r>
          </w:p>
        </w:tc>
        <w:tc>
          <w:tcPr>
            <w:tcW w:w="6179" w:type="dxa"/>
            <w:vAlign w:val="top"/>
          </w:tcPr>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在线手动控灯模式下，显示“切回自动”按钮；</w:t>
            </w:r>
          </w:p>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点击“切回自动”按钮，将控灯模式切换回自动；</w:t>
            </w:r>
          </w:p>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切换回自动控灯模式后，隐藏“切回自动”按钮，并变换为在线自动控灯模式的区域框的填充色。</w:t>
            </w:r>
          </w:p>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灯离线时隐藏“控灯”和“切回自动”按钮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刷新</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点击“刷新”按钮，更新整个页面实时监控状态。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用户点击“刷新”按钮，系统请求获取当前时间实时的设备监控状态，包括摄像头抓拍图、抓拍时间、灯的状态。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4"/>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点击“控灯”对灯的状态进行人工手动干预；</w:t>
            </w:r>
          </w:p>
          <w:p>
            <w:pPr>
              <w:widowControl w:val="0"/>
              <w:numPr>
                <w:ilvl w:val="0"/>
                <w:numId w:val="14"/>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调试完成后点击“自动控灯”触发调整回自动控灯状态。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31850"/>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74410" cy="2802890"/>
            <wp:effectExtent l="0" t="0" r="8890" b="3810"/>
            <wp:docPr id="11" name="图片 11" descr="E:\工作夹\AKE\2017\-产品\原型导出图片\DMS\V1.3改5\导入文件.png导入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V1.3改5\导入文件.png导入文件"/>
                    <pic:cNvPicPr>
                      <a:picLocks noChangeAspect="1"/>
                    </pic:cNvPicPr>
                  </pic:nvPicPr>
                  <pic:blipFill>
                    <a:blip r:embed="rId11"/>
                    <a:srcRect/>
                    <a:stretch>
                      <a:fillRect/>
                    </a:stretch>
                  </pic:blipFill>
                  <pic:spPr>
                    <a:xfrm>
                      <a:off x="0" y="0"/>
                      <a:ext cx="6074410" cy="280289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11151"/>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drawing>
          <wp:inline distT="0" distB="0" distL="114300" distR="114300">
            <wp:extent cx="6142990" cy="2846070"/>
            <wp:effectExtent l="0" t="0" r="3810" b="11430"/>
            <wp:docPr id="6" name="图片 2" descr="E:\工作夹\AKE\2017\-产品\原型导出图片\DMS\V1.3改5\查看大图.png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E:\工作夹\AKE\2017\-产品\原型导出图片\DMS\V1.3改5\查看大图.png查看大图"/>
                    <pic:cNvPicPr>
                      <a:picLocks noChangeAspect="1"/>
                    </pic:cNvPicPr>
                  </pic:nvPicPr>
                  <pic:blipFill>
                    <a:blip r:embed="rId12"/>
                    <a:srcRect/>
                    <a:stretch>
                      <a:fillRect/>
                    </a:stretch>
                  </pic:blipFill>
                  <pic:spPr>
                    <a:xfrm>
                      <a:off x="0" y="0"/>
                      <a:ext cx="6142990" cy="2846070"/>
                    </a:xfrm>
                    <a:prstGeom prst="rect">
                      <a:avLst/>
                    </a:prstGeom>
                    <a:noFill/>
                    <a:ln w="9525">
                      <a:noFill/>
                    </a:ln>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显示车位顺序（车位编号），如“车位1（1187）”，车位编号来源于导入文件；</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显示车位状态：空闲/有车</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显示车牌号码/空；</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5080"/>
      <w:bookmarkStart w:id="58" w:name="_Toc32243"/>
      <w:bookmarkStart w:id="59" w:name="_Toc21714"/>
      <w:r>
        <w:rPr>
          <w:rFonts w:hint="eastAsia" w:ascii="黑体" w:hAnsi="黑体" w:eastAsia="黑体" w:cs="黑体"/>
          <w:szCs w:val="22"/>
          <w:lang w:val="en-US" w:eastAsia="zh-CN"/>
        </w:rPr>
        <w:t>4.非功能性需求</w:t>
      </w:r>
      <w:bookmarkEnd w:id="57"/>
      <w:bookmarkEnd w:id="58"/>
      <w:bookmarkEnd w:id="59"/>
    </w:p>
    <w:tbl>
      <w:tblPr>
        <w:tblStyle w:val="12"/>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16300"/>
      <w:bookmarkEnd w:id="61"/>
      <w:bookmarkStart w:id="62" w:name="_Toc20296"/>
      <w:bookmarkEnd w:id="62"/>
      <w:bookmarkStart w:id="63" w:name="_Toc31005"/>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10698"/>
      <w:bookmarkStart w:id="66" w:name="_Toc7736"/>
      <w:bookmarkStart w:id="67" w:name="_Toc13224"/>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4050"/>
      <w:bookmarkEnd w:id="68"/>
      <w:bookmarkStart w:id="69" w:name="_Toc9737"/>
      <w:bookmarkEnd w:id="69"/>
      <w:bookmarkStart w:id="70" w:name="_Toc2018"/>
      <w:bookmarkEnd w:id="70"/>
      <w:bookmarkStart w:id="71" w:name="_Toc2635"/>
      <w:bookmarkStart w:id="72" w:name="_Toc1804"/>
      <w:bookmarkStart w:id="73" w:name="_Toc28063"/>
      <w:bookmarkStart w:id="74" w:name="_Toc19253"/>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8307"/>
      <w:bookmarkEnd w:id="75"/>
      <w:bookmarkStart w:id="76" w:name="_Toc7732"/>
      <w:bookmarkEnd w:id="76"/>
      <w:bookmarkStart w:id="77" w:name="_Toc12766"/>
      <w:bookmarkEnd w:id="77"/>
      <w:bookmarkStart w:id="78" w:name="_Toc21233"/>
      <w:bookmarkStart w:id="79" w:name="_Toc19341"/>
      <w:bookmarkStart w:id="80" w:name="_Toc4384"/>
      <w:bookmarkStart w:id="81" w:name="_Toc23697"/>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5562"/>
      <w:bookmarkEnd w:id="82"/>
      <w:bookmarkStart w:id="83" w:name="_Toc20160"/>
      <w:bookmarkEnd w:id="83"/>
      <w:bookmarkStart w:id="84" w:name="_Toc10464"/>
      <w:bookmarkStart w:id="85" w:name="_Toc18023"/>
      <w:bookmarkStart w:id="86" w:name="_Toc17965"/>
      <w:bookmarkStart w:id="87" w:name="_Toc997"/>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32744"/>
      <w:bookmarkEnd w:id="88"/>
      <w:bookmarkStart w:id="89" w:name="_Toc1779"/>
      <w:bookmarkEnd w:id="89"/>
      <w:bookmarkStart w:id="90" w:name="_Toc2158"/>
      <w:bookmarkStart w:id="91" w:name="_Toc14509"/>
      <w:bookmarkStart w:id="92" w:name="_Toc9981"/>
      <w:bookmarkStart w:id="93" w:name="_Toc4444"/>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DAE85903"/>
    <w:multiLevelType w:val="singleLevel"/>
    <w:tmpl w:val="DAE85903"/>
    <w:lvl w:ilvl="0" w:tentative="0">
      <w:start w:val="1"/>
      <w:numFmt w:val="decimal"/>
      <w:suff w:val="nothing"/>
      <w:lvlText w:val="（%1）"/>
      <w:lvlJc w:val="left"/>
    </w:lvl>
  </w:abstractNum>
  <w:abstractNum w:abstractNumId="6">
    <w:nsid w:val="E20D673B"/>
    <w:multiLevelType w:val="singleLevel"/>
    <w:tmpl w:val="E20D673B"/>
    <w:lvl w:ilvl="0" w:tentative="0">
      <w:start w:val="1"/>
      <w:numFmt w:val="decimal"/>
      <w:suff w:val="nothing"/>
      <w:lvlText w:val="（%1）"/>
      <w:lvlJc w:val="left"/>
    </w:lvl>
  </w:abstractNum>
  <w:abstractNum w:abstractNumId="7">
    <w:nsid w:val="ED2FFF20"/>
    <w:multiLevelType w:val="singleLevel"/>
    <w:tmpl w:val="ED2FFF20"/>
    <w:lvl w:ilvl="0" w:tentative="0">
      <w:start w:val="1"/>
      <w:numFmt w:val="decimal"/>
      <w:suff w:val="nothing"/>
      <w:lvlText w:val="（%1）"/>
      <w:lvlJc w:val="left"/>
    </w:lvl>
  </w:abstractNum>
  <w:abstractNum w:abstractNumId="8">
    <w:nsid w:val="12C8B3BB"/>
    <w:multiLevelType w:val="singleLevel"/>
    <w:tmpl w:val="12C8B3BB"/>
    <w:lvl w:ilvl="0" w:tentative="0">
      <w:start w:val="1"/>
      <w:numFmt w:val="decimal"/>
      <w:suff w:val="nothing"/>
      <w:lvlText w:val="（%1）"/>
      <w:lvlJc w:val="left"/>
    </w:lvl>
  </w:abstractNum>
  <w:abstractNum w:abstractNumId="9">
    <w:nsid w:val="1671FA50"/>
    <w:multiLevelType w:val="singleLevel"/>
    <w:tmpl w:val="1671FA50"/>
    <w:lvl w:ilvl="0" w:tentative="0">
      <w:start w:val="1"/>
      <w:numFmt w:val="decimal"/>
      <w:suff w:val="nothing"/>
      <w:lvlText w:val="（%1）"/>
      <w:lvlJc w:val="left"/>
    </w:lvl>
  </w:abstractNum>
  <w:abstractNum w:abstractNumId="10">
    <w:nsid w:val="38C172C1"/>
    <w:multiLevelType w:val="singleLevel"/>
    <w:tmpl w:val="38C172C1"/>
    <w:lvl w:ilvl="0" w:tentative="0">
      <w:start w:val="1"/>
      <w:numFmt w:val="decimal"/>
      <w:suff w:val="nothing"/>
      <w:lvlText w:val="（%1）"/>
      <w:lvlJc w:val="left"/>
    </w:lvl>
  </w:abstractNum>
  <w:abstractNum w:abstractNumId="11">
    <w:nsid w:val="47F84DA9"/>
    <w:multiLevelType w:val="singleLevel"/>
    <w:tmpl w:val="47F84DA9"/>
    <w:lvl w:ilvl="0" w:tentative="0">
      <w:start w:val="1"/>
      <w:numFmt w:val="decimal"/>
      <w:suff w:val="nothing"/>
      <w:lvlText w:val="（%1）"/>
      <w:lvlJc w:val="left"/>
    </w:lvl>
  </w:abstractNum>
  <w:abstractNum w:abstractNumId="12">
    <w:nsid w:val="552498DA"/>
    <w:multiLevelType w:val="singleLevel"/>
    <w:tmpl w:val="552498DA"/>
    <w:lvl w:ilvl="0" w:tentative="0">
      <w:start w:val="1"/>
      <w:numFmt w:val="decimal"/>
      <w:suff w:val="nothing"/>
      <w:lvlText w:val="（%1）"/>
      <w:lvlJc w:val="left"/>
    </w:lvl>
  </w:abstractNum>
  <w:abstractNum w:abstractNumId="13">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4">
    <w:nsid w:val="6A8B8A07"/>
    <w:multiLevelType w:val="singleLevel"/>
    <w:tmpl w:val="6A8B8A07"/>
    <w:lvl w:ilvl="0" w:tentative="0">
      <w:start w:val="1"/>
      <w:numFmt w:val="decimal"/>
      <w:suff w:val="nothing"/>
      <w:lvlText w:val="（%1）"/>
      <w:lvlJc w:val="left"/>
    </w:lvl>
  </w:abstractNum>
  <w:abstractNum w:abstractNumId="15">
    <w:nsid w:val="744B4EFA"/>
    <w:multiLevelType w:val="singleLevel"/>
    <w:tmpl w:val="744B4EFA"/>
    <w:lvl w:ilvl="0" w:tentative="0">
      <w:start w:val="1"/>
      <w:numFmt w:val="decimal"/>
      <w:suff w:val="nothing"/>
      <w:lvlText w:val="（%1）"/>
      <w:lvlJc w:val="left"/>
    </w:lvl>
  </w:abstractNum>
  <w:num w:numId="1">
    <w:abstractNumId w:val="13"/>
  </w:num>
  <w:num w:numId="2">
    <w:abstractNumId w:val="0"/>
  </w:num>
  <w:num w:numId="3">
    <w:abstractNumId w:val="7"/>
  </w:num>
  <w:num w:numId="4">
    <w:abstractNumId w:val="11"/>
  </w:num>
  <w:num w:numId="5">
    <w:abstractNumId w:val="9"/>
  </w:num>
  <w:num w:numId="6">
    <w:abstractNumId w:val="12"/>
  </w:num>
  <w:num w:numId="7">
    <w:abstractNumId w:val="1"/>
  </w:num>
  <w:num w:numId="8">
    <w:abstractNumId w:val="15"/>
  </w:num>
  <w:num w:numId="9">
    <w:abstractNumId w:val="5"/>
  </w:num>
  <w:num w:numId="10">
    <w:abstractNumId w:val="8"/>
  </w:num>
  <w:num w:numId="11">
    <w:abstractNumId w:val="10"/>
  </w:num>
  <w:num w:numId="12">
    <w:abstractNumId w:val="3"/>
  </w:num>
  <w:num w:numId="13">
    <w:abstractNumId w:val="14"/>
  </w:num>
  <w:num w:numId="14">
    <w:abstractNumId w:val="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68F"/>
    <w:rsid w:val="00066947"/>
    <w:rsid w:val="00C403CE"/>
    <w:rsid w:val="014B2F0B"/>
    <w:rsid w:val="02647D7C"/>
    <w:rsid w:val="02AE171B"/>
    <w:rsid w:val="034C1450"/>
    <w:rsid w:val="03FB11E5"/>
    <w:rsid w:val="049123FC"/>
    <w:rsid w:val="04B33518"/>
    <w:rsid w:val="05322659"/>
    <w:rsid w:val="0769224E"/>
    <w:rsid w:val="078B3501"/>
    <w:rsid w:val="0A916019"/>
    <w:rsid w:val="0AAF1212"/>
    <w:rsid w:val="0B553216"/>
    <w:rsid w:val="0BE65DBC"/>
    <w:rsid w:val="0C7F4BC9"/>
    <w:rsid w:val="0E1A3F25"/>
    <w:rsid w:val="0E6F6D35"/>
    <w:rsid w:val="10697E82"/>
    <w:rsid w:val="12C91763"/>
    <w:rsid w:val="17774127"/>
    <w:rsid w:val="178768C9"/>
    <w:rsid w:val="19AB4DA3"/>
    <w:rsid w:val="1A224027"/>
    <w:rsid w:val="1AB707D4"/>
    <w:rsid w:val="1AC75396"/>
    <w:rsid w:val="1EA30304"/>
    <w:rsid w:val="1EFC0392"/>
    <w:rsid w:val="20B326B4"/>
    <w:rsid w:val="213C27EE"/>
    <w:rsid w:val="22747031"/>
    <w:rsid w:val="256741CD"/>
    <w:rsid w:val="274D1F8B"/>
    <w:rsid w:val="27826521"/>
    <w:rsid w:val="27BA5805"/>
    <w:rsid w:val="2C8024D6"/>
    <w:rsid w:val="31FB33A0"/>
    <w:rsid w:val="32DA4B7C"/>
    <w:rsid w:val="3307353A"/>
    <w:rsid w:val="33E30737"/>
    <w:rsid w:val="33EC3A06"/>
    <w:rsid w:val="341808F8"/>
    <w:rsid w:val="34A20D79"/>
    <w:rsid w:val="3793385A"/>
    <w:rsid w:val="37C451F3"/>
    <w:rsid w:val="38557FBF"/>
    <w:rsid w:val="38A269C3"/>
    <w:rsid w:val="39121625"/>
    <w:rsid w:val="393D67E3"/>
    <w:rsid w:val="39FC599C"/>
    <w:rsid w:val="3B2F58C7"/>
    <w:rsid w:val="3B5B5B9C"/>
    <w:rsid w:val="3BF519CB"/>
    <w:rsid w:val="3C9F2007"/>
    <w:rsid w:val="3CEB570B"/>
    <w:rsid w:val="3CF51576"/>
    <w:rsid w:val="3D2F0584"/>
    <w:rsid w:val="3DD601A5"/>
    <w:rsid w:val="3DF74C16"/>
    <w:rsid w:val="3E4C173A"/>
    <w:rsid w:val="4023780C"/>
    <w:rsid w:val="40B9480C"/>
    <w:rsid w:val="439924D3"/>
    <w:rsid w:val="45EF3023"/>
    <w:rsid w:val="47576DD5"/>
    <w:rsid w:val="481F4F2B"/>
    <w:rsid w:val="482D12AB"/>
    <w:rsid w:val="493C6431"/>
    <w:rsid w:val="49BA1229"/>
    <w:rsid w:val="49D96267"/>
    <w:rsid w:val="49E10D2A"/>
    <w:rsid w:val="4A0466BC"/>
    <w:rsid w:val="4C1367B4"/>
    <w:rsid w:val="4C827CD9"/>
    <w:rsid w:val="4D421428"/>
    <w:rsid w:val="4DAD1884"/>
    <w:rsid w:val="4DB950D0"/>
    <w:rsid w:val="4F522DCB"/>
    <w:rsid w:val="4F5F6CF8"/>
    <w:rsid w:val="5138096B"/>
    <w:rsid w:val="51E81711"/>
    <w:rsid w:val="52602141"/>
    <w:rsid w:val="53D74537"/>
    <w:rsid w:val="544434CA"/>
    <w:rsid w:val="54A60F1D"/>
    <w:rsid w:val="55A15697"/>
    <w:rsid w:val="55DE3B8A"/>
    <w:rsid w:val="56421F2F"/>
    <w:rsid w:val="59787BF4"/>
    <w:rsid w:val="5AC21624"/>
    <w:rsid w:val="5B683C11"/>
    <w:rsid w:val="5CBF2FE1"/>
    <w:rsid w:val="5F831424"/>
    <w:rsid w:val="627C7AD6"/>
    <w:rsid w:val="63B43FC2"/>
    <w:rsid w:val="64DD4BD5"/>
    <w:rsid w:val="67A31F42"/>
    <w:rsid w:val="687B63B4"/>
    <w:rsid w:val="68802308"/>
    <w:rsid w:val="69257075"/>
    <w:rsid w:val="69620844"/>
    <w:rsid w:val="69DA2975"/>
    <w:rsid w:val="6B5A0706"/>
    <w:rsid w:val="6D535020"/>
    <w:rsid w:val="6D6C1423"/>
    <w:rsid w:val="6DD3080F"/>
    <w:rsid w:val="6F395B7D"/>
    <w:rsid w:val="6F4A4C29"/>
    <w:rsid w:val="704F788C"/>
    <w:rsid w:val="73217455"/>
    <w:rsid w:val="7324658A"/>
    <w:rsid w:val="782241A7"/>
    <w:rsid w:val="78877AA3"/>
    <w:rsid w:val="78D63070"/>
    <w:rsid w:val="795E0E28"/>
    <w:rsid w:val="7B9E0C23"/>
    <w:rsid w:val="7BC8281B"/>
    <w:rsid w:val="7C0971BB"/>
    <w:rsid w:val="7DE97275"/>
    <w:rsid w:val="7EF00CC1"/>
    <w:rsid w:val="7FF9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2018-04-09T09:32:00Z</dcterms:created>
  <dc:creator>北北</dc:creator>
  <cp:lastModifiedBy>北北</cp:lastModifiedBy>
  <dcterms:modified xsi:type="dcterms:W3CDTF">2018-05-04T07:35:46Z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