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6399"/>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9727"/>
      <w:bookmarkStart w:id="3" w:name="_Toc15308"/>
      <w:bookmarkStart w:id="4" w:name="_Toc13422"/>
      <w:bookmarkStart w:id="5" w:name="_Toc21290"/>
      <w:bookmarkStart w:id="6" w:name="_Toc3041"/>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V1.3</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2018-04-19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0"/>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（1）调整页面布局</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223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_Toc6399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_Toc6399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_Toc3041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_Toc3041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_Toc22235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_Toc22235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_Toc13561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_Toc13561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_Toc8112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_Toc8112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_Toc18891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_Toc18891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_Toc24678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_Toc24678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_Toc8894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_Toc8894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_Toc14951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_Toc14951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_Toc17356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_Toc17356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_Toc12593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_Toc12593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_Toc7222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_Toc7222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_Toc4533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_Toc4533 </w:instrText>
      </w:r>
      <w:r>
        <w:fldChar w:fldCharType="separate"/>
      </w:r>
      <w:r>
        <w:t>11</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_Toc23809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_Toc23809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_Toc18805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_Toc18805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_Toc25606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_Toc25606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_Toc21432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_Toc21432 </w:instrText>
      </w:r>
      <w:r>
        <w:fldChar w:fldCharType="separate"/>
      </w:r>
      <w:r>
        <w:t>15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_Toc26850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_Toc26850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_Toc21847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_Toc21847 </w:instrText>
      </w:r>
      <w:r>
        <w:fldChar w:fldCharType="separate"/>
      </w:r>
      <w:r>
        <w:t>15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_Toc16906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_Toc16906 </w:instrText>
      </w:r>
      <w:r>
        <w:fldChar w:fldCharType="separate"/>
      </w:r>
      <w:r>
        <w:t>16</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15886"/>
      <w:bookmarkStart w:id="9" w:name="_Toc9753"/>
      <w:bookmarkStart w:id="10" w:name="_Toc31429"/>
      <w:bookmarkStart w:id="11" w:name="_Toc2143"/>
      <w:bookmarkStart w:id="12" w:name="_Toc31555"/>
      <w:bookmarkStart w:id="13" w:name="_Toc13561"/>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15109"/>
      <w:bookmarkStart w:id="15" w:name="_Toc19106"/>
      <w:bookmarkStart w:id="16" w:name="_Toc25502"/>
      <w:bookmarkStart w:id="17" w:name="_Toc31019"/>
      <w:bookmarkStart w:id="18" w:name="_Toc5568"/>
      <w:bookmarkStart w:id="19" w:name="_Toc8112"/>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4329"/>
      <w:bookmarkStart w:id="21" w:name="_Toc29668"/>
      <w:bookmarkStart w:id="22" w:name="_Toc10609"/>
      <w:bookmarkStart w:id="23" w:name="_Toc5256"/>
      <w:bookmarkStart w:id="24" w:name="_Toc20322"/>
      <w:bookmarkStart w:id="25" w:name="_Toc18891"/>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8131"/>
      <w:bookmarkStart w:id="27" w:name="_Toc18268"/>
      <w:bookmarkStart w:id="28" w:name="_Toc24270"/>
      <w:bookmarkStart w:id="29" w:name="_Toc23979"/>
      <w:bookmarkStart w:id="30" w:name="_Toc10744"/>
      <w:bookmarkStart w:id="31" w:name="_Toc24678"/>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2156"/>
      <w:bookmarkStart w:id="33" w:name="_Toc26045"/>
      <w:bookmarkStart w:id="34" w:name="_Toc10993"/>
      <w:bookmarkStart w:id="35" w:name="_Toc5709"/>
      <w:bookmarkStart w:id="36" w:name="_Toc8894"/>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273"/>
      <w:bookmarkStart w:id="38" w:name="_Toc16460"/>
      <w:bookmarkStart w:id="39" w:name="_Toc13346"/>
      <w:bookmarkStart w:id="40" w:name="_Toc20145"/>
      <w:bookmarkStart w:id="41" w:name="_Toc27684"/>
      <w:bookmarkStart w:id="42" w:name="_Toc14951"/>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7356"/>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3212"/>
      <w:bookmarkStart w:id="46" w:name="_Toc8745"/>
      <w:bookmarkStart w:id="47" w:name="_Toc28457"/>
      <w:bookmarkStart w:id="48" w:name="_Toc12593"/>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7222"/>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正常模式（默认显示正常模式）：隐藏设备ID和区域信息</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44565" cy="2799715"/>
            <wp:effectExtent l="0" t="0" r="635" b="6985"/>
            <wp:docPr id="8" name="图片 8" descr="E:\工作夹\AKE\2017\-产品\原型导出图片\DMS\V1.3改\正常模式.png正常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改\正常模式.png正常模式"/>
                    <pic:cNvPicPr>
                      <a:picLocks noChangeAspect="1"/>
                    </pic:cNvPicPr>
                  </pic:nvPicPr>
                  <pic:blipFill>
                    <a:blip r:embed="rId5"/>
                    <a:srcRect/>
                    <a:stretch>
                      <a:fillRect/>
                    </a:stretch>
                  </pic:blipFill>
                  <pic:spPr>
                    <a:xfrm>
                      <a:off x="0" y="0"/>
                      <a:ext cx="6044565" cy="279971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当鼠标移入到监控抓拍图时在右上角显示摄像头ID，移出时隐藏；当鼠标移入到灯条时显示灯的ID，移出时隐藏。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pPr>
      <w:r>
        <w:drawing>
          <wp:inline distT="0" distB="0" distL="114300" distR="114300">
            <wp:extent cx="6181090" cy="2867660"/>
            <wp:effectExtent l="0" t="0" r="381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181090" cy="2867660"/>
                    </a:xfrm>
                    <a:prstGeom prst="rect">
                      <a:avLst/>
                    </a:prstGeom>
                    <a:noFill/>
                    <a:ln w="9525">
                      <a:noFill/>
                    </a:ln>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r>
        <w:drawing>
          <wp:inline distT="0" distB="0" distL="114300" distR="114300">
            <wp:extent cx="6181090" cy="286766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6181090" cy="2867660"/>
                    </a:xfrm>
                    <a:prstGeom prst="rect">
                      <a:avLst/>
                    </a:prstGeom>
                    <a:noFill/>
                    <a:ln w="9525">
                      <a:noFill/>
                    </a:ln>
                  </pic:spPr>
                </pic:pic>
              </a:graphicData>
            </a:graphic>
          </wp:inline>
        </w:drawing>
      </w:r>
    </w:p>
    <w:p>
      <w:pPr>
        <w:rPr>
          <w:rFonts w:hint="eastAsia" w:ascii="黑体" w:hAnsi="黑体" w:eastAsia="黑体" w:cs="黑体"/>
          <w:b w:val="0"/>
          <w:bCs w:val="0"/>
          <w:sz w:val="24"/>
          <w:szCs w:val="24"/>
          <w:lang w:val="en-US" w:eastAsia="zh-CN"/>
        </w:rPr>
      </w:pP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lang w:val="en-US" w:eastAsia="zh-CN"/>
        </w:rPr>
      </w:pPr>
      <w:r>
        <w:rPr>
          <w:rFonts w:hint="eastAsia" w:ascii="黑体" w:hAnsi="黑体" w:eastAsia="黑体" w:cs="黑体"/>
          <w:sz w:val="21"/>
          <w:szCs w:val="21"/>
          <w:lang w:val="en-US" w:eastAsia="zh-CN"/>
        </w:rPr>
        <w:t>调试模式：显示区域和设备ID信息</w:t>
      </w:r>
    </w:p>
    <w:p>
      <w:p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6805" cy="2874010"/>
            <wp:effectExtent l="0" t="0" r="10795" b="8890"/>
            <wp:docPr id="3" name="图片 3" descr="调试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调试模式"/>
                    <pic:cNvPicPr>
                      <a:picLocks noChangeAspect="1"/>
                    </pic:cNvPicPr>
                  </pic:nvPicPr>
                  <pic:blipFill>
                    <a:blip r:embed="rId8"/>
                    <a:stretch>
                      <a:fillRect/>
                    </a:stretch>
                  </pic:blipFill>
                  <pic:spPr>
                    <a:xfrm>
                      <a:off x="0" y="0"/>
                      <a:ext cx="6186805" cy="287401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5"/>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每页展示30组设备页面，每行3组，共10行，采用下拉滚动条形式；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10" o:title=""/>
            <o:lock v:ext="edit" aspectratio="t"/>
            <w10:wrap type="none"/>
            <w10:anchorlock/>
          </v:shape>
          <o:OLEObject Type="Embed" ProgID="Excel.Sheet.8" ShapeID="_x0000_i1025" DrawAspect="Icon" ObjectID="_1468075725" r:id="rId9">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图标、按钮</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当一个摄像头离线，以另一个摄像头的车位占用情况为准（占满为红灯，有空位为绿灯）；</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当两个摄像头同时离线时，取还在线时灯的最后状态。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展示摄像头的抓拍图片，以灯为单位展示30组图片（每组2张，共60张）。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7"/>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（2）灯在线的情况下，灯为可控状态。</w:t>
            </w:r>
          </w:p>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9"/>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1"/>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调试</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（1）点击“调试”按钮，切换为调试模式界面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（2）调试模式即为正常模式的详细版，显示了设备ID和区域信息。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恢复</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（1）点击“恢复”按钮，恢复到正常模式；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（2）即隐藏设备ID、区域等信息。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（2）车位全部占用时为红灯，车位有空闲时为绿灯，灯离线时为灰灯。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（3）点击绿灯切换为红灯，点击红灯切换为绿灯，控灯模式为手动控灯。卡片颜色先不变，用户点击“刷新”后变换卡片颜色并重新排列。</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w:t>
            </w:r>
          </w:p>
        </w:tc>
        <w:tc>
          <w:tcPr>
            <w:tcW w:w="6179" w:type="dxa"/>
            <w:vAlign w:val="top"/>
          </w:tcPr>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调试恢复正常后，用户可点击“自动”按钮，触发灯恢复自动控灯模式；</w:t>
            </w:r>
          </w:p>
          <w:p>
            <w:pPr>
              <w:pageBreakBefore w:val="0"/>
              <w:widowControl w:val="0"/>
              <w:numPr>
                <w:ilvl w:val="0"/>
                <w:numId w:val="13"/>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切换回自动控灯模式后，隐藏“自动”按钮，并变换为在线自动控灯模式的区域框的填充色。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点击“灯”对灯的状态进行人工手动干预；</w:t>
            </w:r>
          </w:p>
          <w:p>
            <w:pPr>
              <w:widowControl w:val="0"/>
              <w:numPr>
                <w:ilvl w:val="0"/>
                <w:numId w:val="14"/>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4533"/>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6315" cy="2822575"/>
            <wp:effectExtent l="0" t="0" r="6985" b="9525"/>
            <wp:docPr id="11" name="图片 11" descr="E:\工作夹\AKE\2017\-产品\原型导出图片\DMS\V1.3改\导入.png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改\导入.png导入"/>
                    <pic:cNvPicPr>
                      <a:picLocks noChangeAspect="1"/>
                    </pic:cNvPicPr>
                  </pic:nvPicPr>
                  <pic:blipFill>
                    <a:blip r:embed="rId11"/>
                    <a:srcRect/>
                    <a:stretch>
                      <a:fillRect/>
                    </a:stretch>
                  </pic:blipFill>
                  <pic:spPr>
                    <a:xfrm>
                      <a:off x="0" y="0"/>
                      <a:ext cx="6076315" cy="28225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3809"/>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drawing>
          <wp:inline distT="0" distB="0" distL="114300" distR="114300">
            <wp:extent cx="6184265" cy="2846070"/>
            <wp:effectExtent l="0" t="0" r="635"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6184265" cy="2846070"/>
                    </a:xfrm>
                    <a:prstGeom prst="rect">
                      <a:avLst/>
                    </a:prstGeom>
                    <a:noFill/>
                    <a:ln w="9525">
                      <a:noFill/>
                    </a:ln>
                  </pic:spPr>
                </pic:pic>
              </a:graphicData>
            </a:graphic>
          </wp:inline>
        </w:drawing>
      </w:r>
      <w:bookmarkStart w:id="94" w:name="_GoBack"/>
      <w:bookmarkEnd w:id="94"/>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显示车位顺序（车位编号），如“车位1（1187）”，车位编号来源于导入文件；</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显示车位状态：空闲/有车</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显示车牌号码/空；</w:t>
            </w:r>
          </w:p>
          <w:p>
            <w:pPr>
              <w:widowControl w:val="0"/>
              <w:numPr>
                <w:ilvl w:val="0"/>
                <w:numId w:val="1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32243"/>
      <w:bookmarkStart w:id="59" w:name="_Toc18805"/>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2560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2018"/>
      <w:bookmarkEnd w:id="68"/>
      <w:bookmarkStart w:id="69" w:name="_Toc9737"/>
      <w:bookmarkEnd w:id="69"/>
      <w:bookmarkStart w:id="70" w:name="_Toc4050"/>
      <w:bookmarkEnd w:id="70"/>
      <w:bookmarkStart w:id="71" w:name="_Toc28063"/>
      <w:bookmarkStart w:id="72" w:name="_Toc2635"/>
      <w:bookmarkStart w:id="73" w:name="_Toc1804"/>
      <w:bookmarkStart w:id="74" w:name="_Toc21432"/>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7732"/>
      <w:bookmarkEnd w:id="75"/>
      <w:bookmarkStart w:id="76" w:name="_Toc12766"/>
      <w:bookmarkEnd w:id="76"/>
      <w:bookmarkStart w:id="77" w:name="_Toc8307"/>
      <w:bookmarkEnd w:id="77"/>
      <w:bookmarkStart w:id="78" w:name="_Toc21233"/>
      <w:bookmarkStart w:id="79" w:name="_Toc4384"/>
      <w:bookmarkStart w:id="80" w:name="_Toc19341"/>
      <w:bookmarkStart w:id="81" w:name="_Toc26850"/>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7965"/>
      <w:bookmarkStart w:id="85" w:name="_Toc10464"/>
      <w:bookmarkStart w:id="86" w:name="_Toc18023"/>
      <w:bookmarkStart w:id="87" w:name="_Toc21847"/>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9981"/>
      <w:bookmarkStart w:id="91" w:name="_Toc14509"/>
      <w:bookmarkStart w:id="92" w:name="_Toc2158"/>
      <w:bookmarkStart w:id="93" w:name="_Toc16906"/>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1671FA50"/>
    <w:multiLevelType w:val="singleLevel"/>
    <w:tmpl w:val="1671FA50"/>
    <w:lvl w:ilvl="0" w:tentative="0">
      <w:start w:val="1"/>
      <w:numFmt w:val="decimal"/>
      <w:suff w:val="nothing"/>
      <w:lvlText w:val="（%1）"/>
      <w:lvlJc w:val="left"/>
    </w:lvl>
  </w:abstractNum>
  <w:abstractNum w:abstractNumId="10">
    <w:nsid w:val="38C172C1"/>
    <w:multiLevelType w:val="singleLevel"/>
    <w:tmpl w:val="38C172C1"/>
    <w:lvl w:ilvl="0" w:tentative="0">
      <w:start w:val="1"/>
      <w:numFmt w:val="decimal"/>
      <w:suff w:val="nothing"/>
      <w:lvlText w:val="（%1）"/>
      <w:lvlJc w:val="left"/>
    </w:lvl>
  </w:abstractNum>
  <w:abstractNum w:abstractNumId="11">
    <w:nsid w:val="47F84DA9"/>
    <w:multiLevelType w:val="singleLevel"/>
    <w:tmpl w:val="47F84DA9"/>
    <w:lvl w:ilvl="0" w:tentative="0">
      <w:start w:val="1"/>
      <w:numFmt w:val="decimal"/>
      <w:suff w:val="nothing"/>
      <w:lvlText w:val="（%1）"/>
      <w:lvlJc w:val="left"/>
    </w:lvl>
  </w:abstractNum>
  <w:abstractNum w:abstractNumId="12">
    <w:nsid w:val="552498DA"/>
    <w:multiLevelType w:val="singleLevel"/>
    <w:tmpl w:val="552498DA"/>
    <w:lvl w:ilvl="0" w:tentative="0">
      <w:start w:val="1"/>
      <w:numFmt w:val="decimal"/>
      <w:suff w:val="nothing"/>
      <w:lvlText w:val="（%1）"/>
      <w:lvlJc w:val="left"/>
    </w:lvl>
  </w:abstractNum>
  <w:abstractNum w:abstractNumId="13">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4">
    <w:nsid w:val="6A8B8A07"/>
    <w:multiLevelType w:val="singleLevel"/>
    <w:tmpl w:val="6A8B8A07"/>
    <w:lvl w:ilvl="0" w:tentative="0">
      <w:start w:val="1"/>
      <w:numFmt w:val="decimal"/>
      <w:suff w:val="nothing"/>
      <w:lvlText w:val="（%1）"/>
      <w:lvlJc w:val="left"/>
    </w:lvl>
  </w:abstractNum>
  <w:abstractNum w:abstractNumId="15">
    <w:nsid w:val="744B4EFA"/>
    <w:multiLevelType w:val="singleLevel"/>
    <w:tmpl w:val="744B4EFA"/>
    <w:lvl w:ilvl="0" w:tentative="0">
      <w:start w:val="1"/>
      <w:numFmt w:val="decimal"/>
      <w:suff w:val="nothing"/>
      <w:lvlText w:val="（%1）"/>
      <w:lvlJc w:val="left"/>
    </w:lvl>
  </w:abstractNum>
  <w:num w:numId="1">
    <w:abstractNumId w:val="13"/>
  </w:num>
  <w:num w:numId="2">
    <w:abstractNumId w:val="0"/>
  </w:num>
  <w:num w:numId="3">
    <w:abstractNumId w:val="7"/>
  </w:num>
  <w:num w:numId="4">
    <w:abstractNumId w:val="11"/>
  </w:num>
  <w:num w:numId="5">
    <w:abstractNumId w:val="9"/>
  </w:num>
  <w:num w:numId="6">
    <w:abstractNumId w:val="12"/>
  </w:num>
  <w:num w:numId="7">
    <w:abstractNumId w:val="1"/>
  </w:num>
  <w:num w:numId="8">
    <w:abstractNumId w:val="15"/>
  </w:num>
  <w:num w:numId="9">
    <w:abstractNumId w:val="5"/>
  </w:num>
  <w:num w:numId="10">
    <w:abstractNumId w:val="8"/>
  </w:num>
  <w:num w:numId="11">
    <w:abstractNumId w:val="10"/>
  </w:num>
  <w:num w:numId="12">
    <w:abstractNumId w:val="3"/>
  </w:num>
  <w:num w:numId="13">
    <w:abstractNumId w:val="14"/>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14B2F0B"/>
    <w:rsid w:val="03FB11E5"/>
    <w:rsid w:val="049123FC"/>
    <w:rsid w:val="04B33518"/>
    <w:rsid w:val="0769224E"/>
    <w:rsid w:val="0A916019"/>
    <w:rsid w:val="0AAF1212"/>
    <w:rsid w:val="0B553216"/>
    <w:rsid w:val="0BE65DBC"/>
    <w:rsid w:val="0C7F4BC9"/>
    <w:rsid w:val="0E1A3F25"/>
    <w:rsid w:val="10697E82"/>
    <w:rsid w:val="12C91763"/>
    <w:rsid w:val="17774127"/>
    <w:rsid w:val="178768C9"/>
    <w:rsid w:val="1A224027"/>
    <w:rsid w:val="1AC75396"/>
    <w:rsid w:val="1EA30304"/>
    <w:rsid w:val="1EFC0392"/>
    <w:rsid w:val="20B326B4"/>
    <w:rsid w:val="213C27EE"/>
    <w:rsid w:val="22747031"/>
    <w:rsid w:val="256741CD"/>
    <w:rsid w:val="27BA5805"/>
    <w:rsid w:val="2C8024D6"/>
    <w:rsid w:val="31FB33A0"/>
    <w:rsid w:val="32DA4B7C"/>
    <w:rsid w:val="3307353A"/>
    <w:rsid w:val="33EC3A06"/>
    <w:rsid w:val="341808F8"/>
    <w:rsid w:val="34A20D79"/>
    <w:rsid w:val="37C451F3"/>
    <w:rsid w:val="38557FBF"/>
    <w:rsid w:val="38A269C3"/>
    <w:rsid w:val="3B2F58C7"/>
    <w:rsid w:val="3B5B5B9C"/>
    <w:rsid w:val="3CEB570B"/>
    <w:rsid w:val="3CF51576"/>
    <w:rsid w:val="3DD601A5"/>
    <w:rsid w:val="3DF74C16"/>
    <w:rsid w:val="4023780C"/>
    <w:rsid w:val="439924D3"/>
    <w:rsid w:val="45EF3023"/>
    <w:rsid w:val="493C6431"/>
    <w:rsid w:val="49BA1229"/>
    <w:rsid w:val="49D96267"/>
    <w:rsid w:val="49E10D2A"/>
    <w:rsid w:val="4A0466BC"/>
    <w:rsid w:val="4C1367B4"/>
    <w:rsid w:val="4C2F5262"/>
    <w:rsid w:val="4C827CD9"/>
    <w:rsid w:val="4D421428"/>
    <w:rsid w:val="4DAD1884"/>
    <w:rsid w:val="4DB950D0"/>
    <w:rsid w:val="4F522DCB"/>
    <w:rsid w:val="51E81711"/>
    <w:rsid w:val="52602141"/>
    <w:rsid w:val="544434CA"/>
    <w:rsid w:val="54A60F1D"/>
    <w:rsid w:val="55DE3B8A"/>
    <w:rsid w:val="56421F2F"/>
    <w:rsid w:val="59787BF4"/>
    <w:rsid w:val="5AC21624"/>
    <w:rsid w:val="5F831424"/>
    <w:rsid w:val="627C7AD6"/>
    <w:rsid w:val="63B43FC2"/>
    <w:rsid w:val="64DD4BD5"/>
    <w:rsid w:val="687B63B4"/>
    <w:rsid w:val="68802308"/>
    <w:rsid w:val="69257075"/>
    <w:rsid w:val="6B5A0706"/>
    <w:rsid w:val="6D535020"/>
    <w:rsid w:val="6D6C1423"/>
    <w:rsid w:val="6DD3080F"/>
    <w:rsid w:val="6F395B7D"/>
    <w:rsid w:val="704F788C"/>
    <w:rsid w:val="73217455"/>
    <w:rsid w:val="7324658A"/>
    <w:rsid w:val="782241A7"/>
    <w:rsid w:val="795E0E28"/>
    <w:rsid w:val="7B9E0C23"/>
    <w:rsid w:val="7BC8281B"/>
    <w:rsid w:val="7C0971BB"/>
    <w:rsid w:val="7DE97275"/>
    <w:rsid w:val="7EF0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2018-04-18T11:53:12Z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