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2791"/>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1290"/>
      <w:bookmarkStart w:id="4" w:name="_Toc29727"/>
      <w:bookmarkStart w:id="5" w:name="_Toc15308"/>
      <w:bookmarkStart w:id="6" w:name="_Toc136"/>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3.2.3 设备支持红外和超声波，超声波的元素属性增加管理器序号和探测器序号两个配置项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增加了3.2.17寻车H5页面增加广告发布功能；</w:t>
            </w:r>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增加了3.2.18寻车H5页面增加操作说明和显示剩余车位；</w:t>
            </w:r>
            <w:bookmarkStart w:id="211" w:name="_GoBack"/>
            <w:bookmarkEnd w:id="211"/>
          </w:p>
          <w:p>
            <w:pPr>
              <w:numPr>
                <w:ilvl w:val="0"/>
                <w:numId w:val="2"/>
              </w:num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定义了3.2.7全屏监控时设备的显示样式。</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1089"/>
      <w:bookmarkStart w:id="9" w:name="_Toc29388"/>
      <w:bookmarkStart w:id="10" w:name="_Toc23850"/>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_Toc22791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_Toc22791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_Toc136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_Toc136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_Toc23850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_Toc23850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_Toc28095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_Toc28095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_Toc10434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_Toc10434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_Toc20709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_Toc20709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_Toc11942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_Toc11942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_Toc11734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_Toc11734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_Toc22046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_Toc22046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_Toc24104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_Toc24104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_Toc11283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_Toc11283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_Toc5673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_Toc5673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_Toc2709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_Toc2709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_Toc19126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_Toc19126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_Toc20951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_Toc18137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_Toc18137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_Toc26068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_Toc26068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_Toc30548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_Toc32302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_Toc32302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_Toc25474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_Toc25474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_Toc528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_Toc17969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_Toc14364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_Toc3685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_Toc4765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_Toc4765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_Toc3879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_Toc25254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_Toc7879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_Toc20669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_Toc10558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_Toc12353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_Toc12353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_Toc5780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_Toc5780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_Toc10934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_Toc11634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_Toc27275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_Toc27275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_Toc6984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_Toc6984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_Toc26919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_Toc26919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_Toc22198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_Toc22198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_Toc25145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_Toc25145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_Toc30223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_Toc30223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_Toc16027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_Toc16027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_Toc9016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_Toc6992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_Toc6992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_Toc24363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_Toc30047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_Toc6887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_Toc2457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_Toc2457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_Toc6295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_Toc6295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_Toc12177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_Toc12177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_Toc24371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_Toc29006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_Toc29006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_Toc7146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_Toc28026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_Toc28026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_Toc26643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_Toc26643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_Toc16410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_Toc16410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_Toc24445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_Toc19998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_Toc4685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_Toc29249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_Toc29249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_Toc30416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_Toc15888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_Toc15888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_Toc25330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_Toc22554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_Toc4650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_Toc2187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_Toc9255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_Toc9255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_Toc20422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_Toc20422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_Toc8576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_Toc32447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_Toc32447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_Toc16171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_Toc18204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_Toc18204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_Toc7832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_Toc10601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_Toc10601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_Toc30614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_Toc6627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_Toc17007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_Toc14502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_Toc14502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_Toc27615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_Toc27615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_Toc8260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_Toc8260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_Toc10711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_Toc10711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_Toc9737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_Toc9737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_Toc32545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_Toc32545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_Toc382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_Toc11620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_Toc15595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_Toc15595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_Toc4127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_Toc7900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_Toc7900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_Toc28809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_Toc32002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_Toc32002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_Toc8581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_Toc10981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_Toc10981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_Toc27647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_Toc2870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_Toc22385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_Toc22385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_Toc16594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_Toc30566 </w:instrText>
      </w:r>
      <w:r>
        <w:fldChar w:fldCharType="separate"/>
      </w:r>
      <w:r>
        <w:t>34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_Toc9391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_Toc9391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_Toc28209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_Toc4165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_Toc5679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_Toc18483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_Toc18483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_Toc3663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_Toc3663 </w:instrText>
      </w:r>
      <w:r>
        <w:fldChar w:fldCharType="separate"/>
      </w:r>
      <w:r>
        <w:t>36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_Toc28983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_Toc28983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_Toc3001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_Toc2479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_Toc8650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_Toc29746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_Toc29746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_Toc31418 </w:instrText>
      </w:r>
      <w:r>
        <w:fldChar w:fldCharType="separate"/>
      </w:r>
      <w:r>
        <w:t>37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_Toc17427 </w:instrText>
      </w:r>
      <w:r>
        <w:rPr>
          <w:rFonts w:hint="eastAsia"/>
          <w:lang w:val="en-US" w:eastAsia="zh-CN"/>
        </w:rPr>
        <w:fldChar w:fldCharType="separate"/>
      </w:r>
      <w:r>
        <w:rPr>
          <w:rFonts w:hint="eastAsia" w:ascii="黑体" w:hAnsi="黑体" w:eastAsia="黑体" w:cs="黑体"/>
          <w:szCs w:val="30"/>
          <w:lang w:val="en-US" w:eastAsia="zh-CN"/>
        </w:rPr>
        <w:t>3.2.17 寻车H5页面增加广告发布功能</w:t>
      </w:r>
      <w:r>
        <w:tab/>
      </w:r>
      <w:r>
        <w:fldChar w:fldCharType="begin"/>
      </w:r>
      <w:r>
        <w:instrText xml:space="preserve"> PAGEREF _Toc17427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_Toc3751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_Toc3751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_Toc17089 </w:instrText>
      </w:r>
      <w:r>
        <w:fldChar w:fldCharType="separate"/>
      </w:r>
      <w:r>
        <w:t>38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_Toc5089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_Toc7523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_Toc7523 </w:instrText>
      </w:r>
      <w:r>
        <w:fldChar w:fldCharType="separate"/>
      </w:r>
      <w:r>
        <w:t>39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_Toc31400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_Toc31400 </w:instrText>
      </w:r>
      <w:r>
        <w:fldChar w:fldCharType="separate"/>
      </w:r>
      <w:r>
        <w:t>40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_Toc25638 </w:instrText>
      </w:r>
      <w:r>
        <w:rPr>
          <w:rFonts w:hint="eastAsia"/>
          <w:lang w:val="en-US" w:eastAsia="zh-CN"/>
        </w:rPr>
        <w:fldChar w:fldCharType="separate"/>
      </w:r>
      <w:r>
        <w:rPr>
          <w:rFonts w:hint="eastAsia" w:ascii="黑体" w:hAnsi="黑体" w:eastAsia="黑体" w:cs="黑体"/>
          <w:szCs w:val="30"/>
          <w:lang w:val="en-US" w:eastAsia="zh-CN"/>
        </w:rPr>
        <w:t>3.2.18 寻车H5页面增加操作说明和显示剩余车位</w:t>
      </w:r>
      <w:r>
        <w:tab/>
      </w:r>
      <w:r>
        <w:fldChar w:fldCharType="begin"/>
      </w:r>
      <w:r>
        <w:instrText xml:space="preserve"> PAGEREF _Toc25638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_Toc6074 </w:instrText>
      </w:r>
      <w:r>
        <w:fldChar w:fldCharType="separate"/>
      </w:r>
      <w:r>
        <w:t>40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_Toc4363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_Toc4363 </w:instrText>
      </w:r>
      <w:r>
        <w:fldChar w:fldCharType="separate"/>
      </w:r>
      <w:r>
        <w:t>41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_Toc31836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_Toc31836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_Toc14922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_Toc14922 </w:instrText>
      </w:r>
      <w:r>
        <w:fldChar w:fldCharType="separate"/>
      </w:r>
      <w:r>
        <w:t>42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_Toc12241 </w:instrText>
      </w:r>
      <w:r>
        <w:fldChar w:fldCharType="separate"/>
      </w:r>
      <w:r>
        <w:t>42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_Toc29812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_Toc29812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_Toc23896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_Toc23896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_Toc19194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_Toc19194 </w:instrText>
      </w:r>
      <w:r>
        <w:fldChar w:fldCharType="separate"/>
      </w:r>
      <w:r>
        <w:t>43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_Toc25370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_Toc25370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_Toc10708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_Toc10708 </w:instrText>
      </w:r>
      <w:r>
        <w:fldChar w:fldCharType="separate"/>
      </w:r>
      <w:r>
        <w:t>44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_Toc20931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_Toc20931 </w:instrText>
      </w:r>
      <w:r>
        <w:fldChar w:fldCharType="separate"/>
      </w:r>
      <w:r>
        <w:t>44</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3227"/>
      <w:bookmarkStart w:id="12" w:name="_Toc1909"/>
      <w:bookmarkStart w:id="13" w:name="_Toc28513"/>
      <w:bookmarkStart w:id="14" w:name="_Toc26893"/>
      <w:bookmarkStart w:id="15" w:name="_Toc17589"/>
      <w:bookmarkStart w:id="16" w:name="_Toc28095"/>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7778"/>
            <w:bookmarkStart w:id="18"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3"/>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7"/>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9"/>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2143"/>
      <w:bookmarkStart w:id="20" w:name="_Toc15886"/>
      <w:bookmarkStart w:id="21" w:name="_Toc9753"/>
      <w:bookmarkStart w:id="22" w:name="_Toc31429"/>
      <w:bookmarkStart w:id="23" w:name="_Toc10434"/>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19106"/>
      <w:bookmarkStart w:id="25" w:name="_Toc5568"/>
      <w:bookmarkStart w:id="26" w:name="_Toc15109"/>
      <w:bookmarkStart w:id="27" w:name="_Toc25502"/>
      <w:bookmarkStart w:id="28" w:name="_Toc20709"/>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29668"/>
      <w:bookmarkStart w:id="30" w:name="_Toc20322"/>
      <w:bookmarkStart w:id="31" w:name="_Toc10609"/>
      <w:bookmarkStart w:id="32" w:name="_Toc5256"/>
      <w:bookmarkStart w:id="33" w:name="_Toc11942"/>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24270"/>
      <w:bookmarkStart w:id="35" w:name="_Toc10744"/>
      <w:bookmarkStart w:id="36" w:name="_Toc18131"/>
      <w:bookmarkStart w:id="37" w:name="_Toc23979"/>
      <w:bookmarkStart w:id="38" w:name="_Toc11734"/>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26045"/>
      <w:bookmarkStart w:id="40" w:name="_Toc5709"/>
      <w:bookmarkStart w:id="41" w:name="_Toc10993"/>
      <w:bookmarkStart w:id="42" w:name="_Toc22046"/>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13346"/>
      <w:bookmarkStart w:id="44" w:name="_Toc16460"/>
      <w:bookmarkStart w:id="45" w:name="_Toc2273"/>
      <w:bookmarkStart w:id="46" w:name="_Toc27684"/>
      <w:bookmarkStart w:id="47" w:name="_Toc24104"/>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22302"/>
      <w:bookmarkStart w:id="49" w:name="_Toc26890"/>
      <w:bookmarkStart w:id="50" w:name="_Toc2749"/>
      <w:bookmarkStart w:id="51" w:name="_Toc12815"/>
      <w:bookmarkStart w:id="52" w:name="_Toc11283"/>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6231255"/>
            <wp:effectExtent l="0" t="0" r="635" b="444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623125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3212"/>
      <w:bookmarkStart w:id="54" w:name="_Toc8745"/>
      <w:bookmarkStart w:id="55" w:name="_Toc28457"/>
      <w:bookmarkStart w:id="56" w:name="_Toc5673"/>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516"/>
      <w:bookmarkStart w:id="58" w:name="_Toc4849"/>
      <w:bookmarkStart w:id="59" w:name="_Toc28219"/>
      <w:bookmarkStart w:id="60" w:name="_Toc2709"/>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866"/>
      <w:bookmarkStart w:id="62" w:name="_Toc191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2095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30868"/>
      <w:bookmarkStart w:id="66" w:name="_Toc1813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426"/>
      <w:bookmarkStart w:id="68" w:name="_Toc260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0793"/>
      <w:bookmarkStart w:id="70" w:name="_Toc3054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32302"/>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547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52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796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436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368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4765"/>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3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（4）地图编辑器-</w:t>
      </w:r>
      <w:r>
        <w:rPr>
          <w:rFonts w:hint="eastAsia" w:ascii="黑体" w:hAnsi="黑体" w:eastAsia="黑体" w:cs="黑体"/>
          <w:b/>
          <w:bCs/>
          <w:sz w:val="21"/>
          <w:szCs w:val="21"/>
          <w:lang w:val="en-US" w:eastAsia="zh-CN"/>
        </w:rPr>
        <w:t>超声波</w:t>
      </w:r>
      <w:r>
        <w:rPr>
          <w:rFonts w:hint="eastAsia" w:ascii="黑体" w:hAnsi="黑体" w:eastAsia="黑体" w:cs="黑体"/>
          <w:sz w:val="21"/>
          <w:szCs w:val="21"/>
          <w:lang w:val="en-US" w:eastAsia="zh-CN"/>
        </w:rPr>
        <w:t>元素属性中增加“</w:t>
      </w:r>
      <w:r>
        <w:rPr>
          <w:rFonts w:hint="eastAsia" w:ascii="黑体" w:hAnsi="黑体" w:eastAsia="黑体" w:cs="黑体"/>
          <w:b/>
          <w:bCs/>
          <w:sz w:val="21"/>
          <w:szCs w:val="21"/>
          <w:lang w:val="en-US" w:eastAsia="zh-CN"/>
        </w:rPr>
        <w:t>管理器序号</w:t>
      </w:r>
      <w:r>
        <w:rPr>
          <w:rFonts w:hint="eastAsia" w:ascii="黑体" w:hAnsi="黑体" w:eastAsia="黑体" w:cs="黑体"/>
          <w:sz w:val="21"/>
          <w:szCs w:val="21"/>
          <w:lang w:val="en-US" w:eastAsia="zh-CN"/>
        </w:rPr>
        <w:t>”和“</w:t>
      </w:r>
      <w:r>
        <w:rPr>
          <w:rFonts w:hint="eastAsia" w:ascii="黑体" w:hAnsi="黑体" w:eastAsia="黑体" w:cs="黑体"/>
          <w:b/>
          <w:bCs/>
          <w:sz w:val="21"/>
          <w:szCs w:val="21"/>
          <w:lang w:val="en-US" w:eastAsia="zh-CN"/>
        </w:rPr>
        <w:t>探测器序号</w:t>
      </w:r>
      <w:r>
        <w:rPr>
          <w:rFonts w:hint="eastAsia" w:ascii="黑体" w:hAnsi="黑体" w:eastAsia="黑体" w:cs="黑体"/>
          <w:sz w:val="21"/>
          <w:szCs w:val="21"/>
          <w:lang w:val="en-US" w:eastAsia="zh-CN"/>
        </w:rPr>
        <w:t>”两个配置项和提示，管理器序号为贴在管理器设备上的出厂自带序号，探测器序号为贴在探测器设备上的出厂自带序号；系统根据管理器序号结合算法生成管理器的唯一编号，根据探测器序号结合管理器编号生成探测器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（5）管理器序号提示：填入管理器出厂自带的序号，系统将根据管理器序号结合算法生成管理器的唯一编号。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（6）探测器序号提示：填入探测器出厂自带的序号，系统将根据探测器序号结合管理器编号生成探测器的唯一编号。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525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2269490"/>
            <wp:effectExtent l="0" t="0" r="6350" b="3810"/>
            <wp:docPr id="3" name="图片 3" descr="E:\工作夹\AKE\2017\-产品\原型导出图片\MPGS\V2.5.0\设备支持超声波和红外.png设备支持超声波和红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5.0\设备支持超声波和红外.png设备支持超声波和红外"/>
                    <pic:cNvPicPr>
                      <a:picLocks noChangeAspect="1"/>
                    </pic:cNvPicPr>
                  </pic:nvPicPr>
                  <pic:blipFill>
                    <a:blip r:embed="rId11"/>
                    <a:srcRect/>
                    <a:stretch>
                      <a:fillRect/>
                    </a:stretch>
                  </pic:blipFill>
                  <pic:spPr>
                    <a:xfrm>
                      <a:off x="0" y="0"/>
                      <a:ext cx="6178550" cy="22694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568700" cy="1854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568700" cy="18542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787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066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0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12353"/>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578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109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3"/>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4"/>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163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72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698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26919"/>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219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2514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5"/>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022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602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90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6992"/>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436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3004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6"/>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688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45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629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2177"/>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437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（1）全屏监控页面，默认全部勾选显示车位、设备、图标；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）绑定车位的设备跟车位显示，即如果不勾选显示离线设备，那么离线设备不显示，但是车位里面的离线探头依然显示；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（3）</w:t>
      </w:r>
      <w:r>
        <w:rPr>
          <w:rFonts w:hint="eastAsia" w:ascii="黑体" w:hAnsi="黑体" w:eastAsia="黑体" w:cs="黑体"/>
          <w:sz w:val="21"/>
          <w:szCs w:val="21"/>
          <w:lang w:val="en-US" w:eastAsia="zh-CN"/>
        </w:rPr>
        <w:t>设备在线时图标有颜色，元素编号无背景色；</w:t>
      </w:r>
      <w:r>
        <w:rPr>
          <w:rFonts w:hint="eastAsia" w:ascii="黑体" w:hAnsi="黑体" w:eastAsia="黑体" w:cs="黑体"/>
          <w:sz w:val="21"/>
          <w:szCs w:val="21"/>
          <w:lang w:val="zh-CN" w:eastAsia="zh-CN"/>
        </w:rPr>
        <w:t>设备</w:t>
      </w:r>
      <w:r>
        <w:rPr>
          <w:rFonts w:hint="eastAsia" w:ascii="黑体" w:hAnsi="黑体" w:eastAsia="黑体" w:cs="黑体"/>
          <w:sz w:val="21"/>
          <w:szCs w:val="21"/>
          <w:lang w:val="en-US" w:eastAsia="zh-CN"/>
        </w:rPr>
        <w:t>离线时</w:t>
      </w:r>
      <w:r>
        <w:rPr>
          <w:rFonts w:hint="eastAsia" w:ascii="黑体" w:hAnsi="黑体" w:eastAsia="黑体" w:cs="黑体"/>
          <w:sz w:val="21"/>
          <w:szCs w:val="21"/>
          <w:lang w:val="zh-CN" w:eastAsia="zh-CN"/>
        </w:rPr>
        <w:t>图标为灰色，其元素编号背景色为红色；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（4）引导屏在线时，未绑定区域的元素编号背景颜色为红色，已绑定区域的无背景颜色；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5</w:t>
      </w:r>
      <w:r>
        <w:rPr>
          <w:rFonts w:hint="eastAsia" w:ascii="黑体" w:hAnsi="黑体" w:eastAsia="黑体" w:cs="黑体"/>
          <w:sz w:val="21"/>
          <w:szCs w:val="21"/>
          <w:lang w:val="zh-CN" w:eastAsia="zh-CN"/>
        </w:rPr>
        <w:t>）引导屏离线时，不管有没有绑定区域，设备图标为灰色，元素编号背景颜色均为红色。</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2900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7"/>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8"/>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714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2802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664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16410"/>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44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1999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9"/>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468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924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3041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15888"/>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533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2255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20"/>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465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18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925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20422"/>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857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3244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1"/>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617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182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78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10601"/>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3061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662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700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450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761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8260"/>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071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9737"/>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32545"/>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382"/>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1620"/>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15595"/>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4127"/>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790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2"/>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2880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3200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858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10981"/>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27647"/>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87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3"/>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4"/>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2238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16594"/>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3056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9391"/>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2820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4165"/>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5"/>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567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1848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366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28983"/>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3001"/>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247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6"/>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8650"/>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29746"/>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3141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3" w:name="_Toc17427"/>
      <w:r>
        <w:rPr>
          <w:rFonts w:hint="eastAsia" w:ascii="黑体" w:hAnsi="黑体" w:eastAsia="黑体" w:cs="黑体"/>
          <w:sz w:val="30"/>
          <w:szCs w:val="30"/>
          <w:lang w:val="en-US" w:eastAsia="zh-CN"/>
        </w:rPr>
        <w:t>3.2.17 寻车H5页面增加广告发布功能</w:t>
      </w:r>
      <w:bookmarkEnd w:id="1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4" w:name="_Toc375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6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（1）寻车H5页面支持广告发布功能，在MPGS后台-车场管理-基础数据中增加“寻车H5广告图片”配置项，</w:t>
      </w:r>
      <w:r>
        <w:rPr>
          <w:rFonts w:hint="eastAsia" w:ascii="黑体" w:hAnsi="黑体" w:eastAsia="黑体" w:cs="黑体"/>
          <w:color w:val="FF0000"/>
          <w:sz w:val="21"/>
          <w:szCs w:val="21"/>
          <w:lang w:val="en-US" w:eastAsia="zh-CN"/>
        </w:rPr>
        <w:t>包含三个单选选项：弹窗广告、底部广告和关闭，默认关闭</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当用户关闭寻车H5广告时，“设置广告图片”按钮不可用；当用户选择开启广告（即选择弹窗广告或底部广告时），“设置广告图片”按钮可用，点击“设置广告图片”，弹出“设置广告图片”弹窗，用户可设置单张广告图片停留时长，默认5秒，支持设置多张广告图片。（</w:t>
      </w:r>
      <w:r>
        <w:rPr>
          <w:rFonts w:hint="eastAsia" w:ascii="黑体" w:hAnsi="黑体" w:eastAsia="黑体" w:cs="黑体"/>
          <w:color w:val="FF0000"/>
          <w:sz w:val="21"/>
          <w:szCs w:val="21"/>
          <w:lang w:val="en-US" w:eastAsia="zh-CN"/>
        </w:rPr>
        <w:t>弹窗广告和底部广告尺寸不同，具体尺寸见UI设计图</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（3）若只有一张广告图片则不滚动，若设置了多张广告图片，按设置的单张图片停留时长进行滚动显示。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（4）设置了广告图片且开启了寻车H5广告图片，则图片将默认显示在该车场的</w:t>
      </w:r>
      <w:r>
        <w:rPr>
          <w:rFonts w:hint="eastAsia" w:ascii="黑体" w:hAnsi="黑体" w:eastAsia="黑体" w:cs="黑体"/>
          <w:color w:val="FF0000"/>
          <w:sz w:val="21"/>
          <w:szCs w:val="21"/>
          <w:lang w:val="en-US" w:eastAsia="zh-CN"/>
        </w:rPr>
        <w:t>寻车H5-车牌查询</w:t>
      </w:r>
      <w:r>
        <w:rPr>
          <w:rFonts w:hint="eastAsia" w:ascii="黑体" w:hAnsi="黑体" w:eastAsia="黑体" w:cs="黑体"/>
          <w:sz w:val="21"/>
          <w:szCs w:val="21"/>
          <w:lang w:val="en-US" w:eastAsia="zh-CN"/>
        </w:rPr>
        <w:t>页面。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（5）弹窗广告：用户可手动关闭；底部广告：一直停留在H5页面底部。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65" w:name="_Toc17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7280" cy="2472055"/>
            <wp:effectExtent l="0" t="0" r="7620" b="4445"/>
            <wp:docPr id="12" name="图片 12" descr="寻车h5增加广告发布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寻车h5增加广告发布功能1"/>
                    <pic:cNvPicPr>
                      <a:picLocks noChangeAspect="1"/>
                    </pic:cNvPicPr>
                  </pic:nvPicPr>
                  <pic:blipFill>
                    <a:blip r:embed="rId27"/>
                    <a:stretch>
                      <a:fillRect/>
                    </a:stretch>
                  </pic:blipFill>
                  <pic:spPr>
                    <a:xfrm>
                      <a:off x="0" y="0"/>
                      <a:ext cx="6177280" cy="247205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185" cy="5248910"/>
            <wp:effectExtent l="0" t="0" r="5715" b="8890"/>
            <wp:docPr id="13" name="图片 13" descr="寻车h5增加广告发布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寻车h5增加广告发布功能2"/>
                    <pic:cNvPicPr>
                      <a:picLocks noChangeAspect="1"/>
                    </pic:cNvPicPr>
                  </pic:nvPicPr>
                  <pic:blipFill>
                    <a:blip r:embed="rId28"/>
                    <a:stretch>
                      <a:fillRect/>
                    </a:stretch>
                  </pic:blipFill>
                  <pic:spPr>
                    <a:xfrm>
                      <a:off x="0" y="0"/>
                      <a:ext cx="6179185" cy="524891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5089"/>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7523"/>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31400"/>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69" w:name="_Toc25638"/>
      <w:r>
        <w:rPr>
          <w:rFonts w:hint="eastAsia" w:ascii="黑体" w:hAnsi="黑体" w:eastAsia="黑体" w:cs="黑体"/>
          <w:sz w:val="30"/>
          <w:szCs w:val="30"/>
          <w:lang w:val="en-US" w:eastAsia="zh-CN"/>
        </w:rPr>
        <w:t>3.2.18 寻车H5页面增加操作说明和显示剩余车位</w:t>
      </w:r>
      <w:bookmarkEnd w:id="1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0" w:name="_Toc6074"/>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（1）将原来的“中文”按钮改为“功能”按钮，点击功能按钮，弹出“中文”、“说明”、“车位数”三个功能按键。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（2）“中文”：为原来的切换语言界面；“说明”：为微信寻车H5的操作说明页面；“车位数”：显示当前停车场分区域的剩余车位数。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（3）“操作说明”页面，由程序写入，本地获取；具体页面排版以UI设计图为准；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剩余车位数</w:t>
      </w:r>
      <w:r>
        <w:rPr>
          <w:rFonts w:hint="default" w:ascii="黑体" w:hAnsi="黑体" w:eastAsia="黑体" w:cs="黑体"/>
          <w:sz w:val="21"/>
          <w:szCs w:val="21"/>
          <w:lang w:val="en-US" w:eastAsia="zh-CN"/>
        </w:rPr>
        <w:t>”</w:t>
      </w:r>
      <w:r>
        <w:rPr>
          <w:rFonts w:hint="eastAsia" w:ascii="黑体" w:hAnsi="黑体" w:eastAsia="黑体" w:cs="黑体"/>
          <w:sz w:val="21"/>
          <w:szCs w:val="21"/>
          <w:lang w:val="en-US" w:eastAsia="zh-CN"/>
        </w:rPr>
        <w:t>页面为每打开都获取一次当前停车场分层分区域的剩余车位数。</w:t>
      </w:r>
      <w:r>
        <w:rPr>
          <w:rFonts w:hint="eastAsia" w:ascii="黑体" w:hAnsi="黑体" w:eastAsia="黑体" w:cs="黑体"/>
          <w:color w:val="FF0000"/>
          <w:sz w:val="21"/>
          <w:szCs w:val="21"/>
          <w:lang w:val="en-US" w:eastAsia="zh-CN"/>
        </w:rPr>
        <w:t>默认展示总剩余车位数和每层的剩余车位数</w:t>
      </w:r>
      <w:r>
        <w:rPr>
          <w:rFonts w:hint="eastAsia" w:ascii="黑体" w:hAnsi="黑体" w:eastAsia="黑体" w:cs="黑体"/>
          <w:sz w:val="21"/>
          <w:szCs w:val="21"/>
          <w:lang w:val="en-US" w:eastAsia="zh-CN"/>
        </w:rPr>
        <w:t>，分区域的剩余车位数默认折叠；如果没有分层或只有一层则默认展示总剩余车位数和每个区域的剩余车位数，具体页面排版以UI设计图为准。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71" w:name="_Toc436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7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9820" cy="4128770"/>
            <wp:effectExtent l="0" t="0" r="0" b="0"/>
            <wp:docPr id="15" name="图片 15" descr="功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功能3"/>
                    <pic:cNvPicPr>
                      <a:picLocks noChangeAspect="1"/>
                    </pic:cNvPicPr>
                  </pic:nvPicPr>
                  <pic:blipFill>
                    <a:blip r:embed="rId29"/>
                    <a:stretch>
                      <a:fillRect/>
                    </a:stretch>
                  </pic:blipFill>
                  <pic:spPr>
                    <a:xfrm>
                      <a:off x="0" y="0"/>
                      <a:ext cx="6179820" cy="412877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850515" cy="4363085"/>
            <wp:effectExtent l="0" t="0" r="6985" b="5715"/>
            <wp:docPr id="18" name="图片 18" descr="微信寻车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寻车说明"/>
                    <pic:cNvPicPr>
                      <a:picLocks noChangeAspect="1"/>
                    </pic:cNvPicPr>
                  </pic:nvPicPr>
                  <pic:blipFill>
                    <a:blip r:embed="rId30"/>
                    <a:stretch>
                      <a:fillRect/>
                    </a:stretch>
                  </pic:blipFill>
                  <pic:spPr>
                    <a:xfrm>
                      <a:off x="0" y="0"/>
                      <a:ext cx="2850515" cy="4363085"/>
                    </a:xfrm>
                    <a:prstGeom prst="rect">
                      <a:avLst/>
                    </a:prstGeom>
                  </pic:spPr>
                </pic:pic>
              </a:graphicData>
            </a:graphic>
          </wp:inline>
        </w:drawing>
      </w: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3002915" cy="4305300"/>
            <wp:effectExtent l="0" t="0" r="6985" b="0"/>
            <wp:docPr id="14" name="图片 14" descr="剩余车位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剩余车位数"/>
                    <pic:cNvPicPr>
                      <a:picLocks noChangeAspect="1"/>
                    </pic:cNvPicPr>
                  </pic:nvPicPr>
                  <pic:blipFill>
                    <a:blip r:embed="rId31"/>
                    <a:stretch>
                      <a:fillRect/>
                    </a:stretch>
                  </pic:blipFill>
                  <pic:spPr>
                    <a:xfrm>
                      <a:off x="0" y="0"/>
                      <a:ext cx="3002915" cy="430530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18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14922"/>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1224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5" w:name="_Toc5080"/>
      <w:bookmarkStart w:id="176" w:name="_Toc16257"/>
      <w:bookmarkStart w:id="177" w:name="_Toc29812"/>
      <w:r>
        <w:rPr>
          <w:rFonts w:hint="eastAsia" w:ascii="黑体" w:hAnsi="黑体" w:eastAsia="黑体" w:cs="黑体"/>
          <w:szCs w:val="22"/>
          <w:lang w:val="en-US" w:eastAsia="zh-CN"/>
        </w:rPr>
        <w:t>4.非功能性需求</w:t>
      </w:r>
      <w:bookmarkEnd w:id="175"/>
      <w:bookmarkEnd w:id="176"/>
      <w:bookmarkEnd w:id="17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78" w:name="_Toc7429177"/>
            <w:bookmarkEnd w:id="17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79" w:name="_Toc20296"/>
      <w:bookmarkEnd w:id="179"/>
      <w:bookmarkStart w:id="180" w:name="_Toc16300"/>
      <w:bookmarkEnd w:id="180"/>
      <w:bookmarkStart w:id="181" w:name="_Toc31005"/>
      <w:bookmarkEnd w:id="181"/>
      <w:bookmarkStart w:id="18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3" w:name="_Toc8453"/>
      <w:bookmarkStart w:id="184" w:name="_Toc10698"/>
      <w:bookmarkStart w:id="185" w:name="_Toc23896"/>
      <w:r>
        <w:rPr>
          <w:rFonts w:hint="eastAsia" w:ascii="黑体" w:hAnsi="黑体" w:eastAsia="黑体" w:cs="黑体"/>
          <w:szCs w:val="22"/>
          <w:lang w:val="en-US" w:eastAsia="zh-CN"/>
        </w:rPr>
        <w:t>5.外部接口说明</w:t>
      </w:r>
      <w:bookmarkEnd w:id="182"/>
      <w:bookmarkEnd w:id="183"/>
      <w:bookmarkEnd w:id="184"/>
      <w:bookmarkEnd w:id="1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6" w:name="_Toc2018"/>
      <w:bookmarkEnd w:id="186"/>
      <w:bookmarkStart w:id="187" w:name="_Toc4050"/>
      <w:bookmarkEnd w:id="187"/>
      <w:bookmarkStart w:id="188" w:name="_Toc28063"/>
      <w:bookmarkStart w:id="189" w:name="_Toc1804"/>
      <w:bookmarkStart w:id="190" w:name="_Toc2226"/>
      <w:bookmarkStart w:id="191" w:name="_Toc19194"/>
      <w:r>
        <w:rPr>
          <w:rFonts w:hint="eastAsia" w:ascii="黑体" w:hAnsi="黑体" w:eastAsia="黑体" w:cs="黑体"/>
          <w:szCs w:val="22"/>
          <w:lang w:val="en-US" w:eastAsia="zh-CN"/>
        </w:rPr>
        <w:t>6.附件</w:t>
      </w:r>
      <w:bookmarkEnd w:id="188"/>
      <w:bookmarkEnd w:id="189"/>
      <w:bookmarkEnd w:id="190"/>
      <w:bookmarkEnd w:id="1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2" w:name="_Toc7732"/>
      <w:bookmarkEnd w:id="192"/>
      <w:bookmarkStart w:id="193" w:name="_Toc8307"/>
      <w:bookmarkEnd w:id="193"/>
      <w:bookmarkStart w:id="194" w:name="_Toc12766"/>
      <w:bookmarkEnd w:id="194"/>
      <w:bookmarkStart w:id="195" w:name="_Toc10731"/>
      <w:bookmarkStart w:id="196" w:name="_Toc21233"/>
      <w:bookmarkStart w:id="197" w:name="_Toc19341"/>
      <w:bookmarkStart w:id="198" w:name="_Toc25370"/>
      <w:r>
        <w:rPr>
          <w:rFonts w:hint="eastAsia" w:ascii="黑体" w:hAnsi="黑体" w:eastAsia="黑体" w:cs="黑体"/>
          <w:szCs w:val="22"/>
          <w:lang w:val="en-US" w:eastAsia="zh-CN"/>
        </w:rPr>
        <w:t>7.附录</w:t>
      </w:r>
      <w:bookmarkEnd w:id="195"/>
      <w:bookmarkEnd w:id="196"/>
      <w:bookmarkEnd w:id="197"/>
      <w:bookmarkEnd w:id="19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9" w:name="_Toc25562"/>
      <w:bookmarkEnd w:id="199"/>
      <w:bookmarkStart w:id="200" w:name="_Toc20160"/>
      <w:bookmarkEnd w:id="200"/>
      <w:bookmarkStart w:id="201" w:name="_Toc1710"/>
      <w:bookmarkStart w:id="202" w:name="_Toc10464"/>
      <w:bookmarkStart w:id="203" w:name="_Toc17965"/>
      <w:bookmarkStart w:id="204" w:name="_Toc10708"/>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01"/>
      <w:bookmarkEnd w:id="202"/>
      <w:bookmarkEnd w:id="203"/>
      <w:bookmarkEnd w:id="204"/>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05" w:name="_Toc32744"/>
      <w:bookmarkEnd w:id="205"/>
      <w:bookmarkStart w:id="206" w:name="_Toc1779"/>
      <w:bookmarkEnd w:id="206"/>
      <w:bookmarkStart w:id="207" w:name="_Toc14509"/>
      <w:bookmarkStart w:id="208" w:name="_Toc5003"/>
      <w:bookmarkStart w:id="209" w:name="_Toc9981"/>
      <w:bookmarkStart w:id="210" w:name="_Toc2093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07"/>
      <w:bookmarkEnd w:id="208"/>
      <w:bookmarkEnd w:id="209"/>
      <w:bookmarkEnd w:id="2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5C449"/>
    <w:multiLevelType w:val="singleLevel"/>
    <w:tmpl w:val="9BB5C449"/>
    <w:lvl w:ilvl="0" w:tentative="0">
      <w:start w:val="1"/>
      <w:numFmt w:val="decimal"/>
      <w:suff w:val="nothing"/>
      <w:lvlText w:val="%1、"/>
      <w:lvlJc w:val="left"/>
    </w:lvl>
  </w:abstractNum>
  <w:abstractNum w:abstractNumId="1">
    <w:nsid w:val="5116A0F7"/>
    <w:multiLevelType w:val="singleLevel"/>
    <w:tmpl w:val="5116A0F7"/>
    <w:lvl w:ilvl="0" w:tentative="0">
      <w:start w:val="2"/>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num w:numId="1">
    <w:abstractNumId w:val="9"/>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4485F"/>
    <w:rsid w:val="00D15CBC"/>
    <w:rsid w:val="011C72A0"/>
    <w:rsid w:val="02AD06BD"/>
    <w:rsid w:val="03BC78EA"/>
    <w:rsid w:val="051C04A3"/>
    <w:rsid w:val="05530392"/>
    <w:rsid w:val="06924482"/>
    <w:rsid w:val="070C5C0B"/>
    <w:rsid w:val="07B907DA"/>
    <w:rsid w:val="07C86B2A"/>
    <w:rsid w:val="08EC27C4"/>
    <w:rsid w:val="0ABB05F2"/>
    <w:rsid w:val="0C7746EB"/>
    <w:rsid w:val="0C833488"/>
    <w:rsid w:val="0E2066C0"/>
    <w:rsid w:val="0F697AB2"/>
    <w:rsid w:val="11A10569"/>
    <w:rsid w:val="12146530"/>
    <w:rsid w:val="1246673B"/>
    <w:rsid w:val="137C0288"/>
    <w:rsid w:val="1389190B"/>
    <w:rsid w:val="13A85494"/>
    <w:rsid w:val="13EB4DF5"/>
    <w:rsid w:val="153870E9"/>
    <w:rsid w:val="155E18A4"/>
    <w:rsid w:val="157009EA"/>
    <w:rsid w:val="17C47C06"/>
    <w:rsid w:val="17F02908"/>
    <w:rsid w:val="18BF6A47"/>
    <w:rsid w:val="191B2735"/>
    <w:rsid w:val="1A303C37"/>
    <w:rsid w:val="1A8719D0"/>
    <w:rsid w:val="1AD754E6"/>
    <w:rsid w:val="1BD119A1"/>
    <w:rsid w:val="1BD373DA"/>
    <w:rsid w:val="1E315DA8"/>
    <w:rsid w:val="1E50729F"/>
    <w:rsid w:val="1F1B68A6"/>
    <w:rsid w:val="205C290C"/>
    <w:rsid w:val="213C3D0A"/>
    <w:rsid w:val="21612090"/>
    <w:rsid w:val="22A67264"/>
    <w:rsid w:val="22BD16B9"/>
    <w:rsid w:val="23336F66"/>
    <w:rsid w:val="23BB2BD3"/>
    <w:rsid w:val="2555511C"/>
    <w:rsid w:val="26D277E6"/>
    <w:rsid w:val="284F2F68"/>
    <w:rsid w:val="29845AD4"/>
    <w:rsid w:val="29B055E8"/>
    <w:rsid w:val="2ACE5F12"/>
    <w:rsid w:val="2B903C0B"/>
    <w:rsid w:val="2BC11AC8"/>
    <w:rsid w:val="2D321248"/>
    <w:rsid w:val="2D58754B"/>
    <w:rsid w:val="2E5E534D"/>
    <w:rsid w:val="2E8F2E3E"/>
    <w:rsid w:val="2F4E05D2"/>
    <w:rsid w:val="309C2BA7"/>
    <w:rsid w:val="348C0F76"/>
    <w:rsid w:val="34CF6C5C"/>
    <w:rsid w:val="352203EB"/>
    <w:rsid w:val="35376FBE"/>
    <w:rsid w:val="363B5BFE"/>
    <w:rsid w:val="366D29D7"/>
    <w:rsid w:val="3722512C"/>
    <w:rsid w:val="381B3CA0"/>
    <w:rsid w:val="39C64889"/>
    <w:rsid w:val="3C2A7584"/>
    <w:rsid w:val="3C5F48D4"/>
    <w:rsid w:val="3E306CCD"/>
    <w:rsid w:val="3F812159"/>
    <w:rsid w:val="42C756F7"/>
    <w:rsid w:val="447622A6"/>
    <w:rsid w:val="44F2425C"/>
    <w:rsid w:val="45E56EA8"/>
    <w:rsid w:val="460853AB"/>
    <w:rsid w:val="47665903"/>
    <w:rsid w:val="49300160"/>
    <w:rsid w:val="4C9B30D4"/>
    <w:rsid w:val="4CB15CFD"/>
    <w:rsid w:val="4D6C276F"/>
    <w:rsid w:val="4D983C86"/>
    <w:rsid w:val="4DB22ECE"/>
    <w:rsid w:val="4EEC53AC"/>
    <w:rsid w:val="500123C4"/>
    <w:rsid w:val="51821A60"/>
    <w:rsid w:val="529F09BE"/>
    <w:rsid w:val="536039A6"/>
    <w:rsid w:val="54114912"/>
    <w:rsid w:val="550427ED"/>
    <w:rsid w:val="561C1EA1"/>
    <w:rsid w:val="561C4CE5"/>
    <w:rsid w:val="582427C8"/>
    <w:rsid w:val="59223D5C"/>
    <w:rsid w:val="59BE22FD"/>
    <w:rsid w:val="5A3A2F95"/>
    <w:rsid w:val="5B331694"/>
    <w:rsid w:val="5B4A067E"/>
    <w:rsid w:val="5C41439C"/>
    <w:rsid w:val="5E7C6F0B"/>
    <w:rsid w:val="5E9D6E25"/>
    <w:rsid w:val="60974395"/>
    <w:rsid w:val="615327D0"/>
    <w:rsid w:val="64ED69E7"/>
    <w:rsid w:val="663B7A56"/>
    <w:rsid w:val="66DF32E1"/>
    <w:rsid w:val="68AF56C8"/>
    <w:rsid w:val="6A2B5FCE"/>
    <w:rsid w:val="6C2125CD"/>
    <w:rsid w:val="6C221871"/>
    <w:rsid w:val="6C56171F"/>
    <w:rsid w:val="6CBF5194"/>
    <w:rsid w:val="6CC961A5"/>
    <w:rsid w:val="6CCD7A24"/>
    <w:rsid w:val="6CE15785"/>
    <w:rsid w:val="6D535020"/>
    <w:rsid w:val="6D653EB0"/>
    <w:rsid w:val="70405C63"/>
    <w:rsid w:val="70AD692A"/>
    <w:rsid w:val="71221F22"/>
    <w:rsid w:val="72841DFA"/>
    <w:rsid w:val="729A5E13"/>
    <w:rsid w:val="731A1DE1"/>
    <w:rsid w:val="73542A0A"/>
    <w:rsid w:val="73AC2383"/>
    <w:rsid w:val="73D31C6E"/>
    <w:rsid w:val="77B46E6E"/>
    <w:rsid w:val="78117E16"/>
    <w:rsid w:val="79195F09"/>
    <w:rsid w:val="7ACC3D8F"/>
    <w:rsid w:val="7B302501"/>
    <w:rsid w:val="7B6D50BF"/>
    <w:rsid w:val="7BA26169"/>
    <w:rsid w:val="7CCC62FF"/>
    <w:rsid w:val="7DB249F4"/>
    <w:rsid w:val="7DBD23EB"/>
    <w:rsid w:val="7DED2178"/>
    <w:rsid w:val="7EF13676"/>
    <w:rsid w:val="7FC30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2018-05-29T06:40:24Z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