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411183216"/>
      </w:sdtPr>
      <w:sdtEndPr>
        <w:rPr>
          <w:rFonts w:asciiTheme="majorHAnsi" w:hAnsiTheme="majorHAnsi" w:eastAsiaTheme="majorEastAsia" w:cstheme="majorBidi"/>
          <w:b/>
          <w:caps w:val="0"/>
          <w:color w:val="auto"/>
          <w:sz w:val="76"/>
          <w:szCs w:val="72"/>
        </w:rPr>
      </w:sdtEndPr>
      <w:sdtContent>
        <w:tbl>
          <w:tblPr>
            <w:tblStyle w:val="6"/>
            <w:tblW w:w="11016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1016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11016" w:type="dxa"/>
              </w:tcPr>
              <w:p>
                <w:pPr>
                  <w:pStyle w:val="8"/>
                  <w:pageBreakBefore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300" w:lineRule="auto"/>
                  <w:jc w:val="center"/>
                  <w:textAlignment w:val="auto"/>
                  <w:rPr>
                    <w:rFonts w:asciiTheme="majorHAnsi" w:hAnsiTheme="majorHAnsi" w:eastAsiaTheme="majorEastAsia" w:cstheme="majorBidi"/>
                    <w:caps/>
                    <w:color w:val="auto"/>
                  </w:rPr>
                </w:pPr>
                <w:r>
                  <w:rPr>
                    <w:rFonts w:hint="eastAsia"/>
                    <w:lang w:val="en-US" w:eastAsia="zh-CN"/>
                  </w:rPr>
                  <w:t xml:space="preserve"> 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olor w:val="auto"/>
                  <w:sz w:val="80"/>
                  <w:szCs w:val="80"/>
                </w:rPr>
                <w:alias w:val="Title"/>
                <w:id w:val="15524250"/>
                <w:placeholder>
                  <w:docPart w:val="{b4239e65-c071-4dd8-9a3c-e55009e1339d}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color w:val="auto"/>
                  <w:sz w:val="80"/>
                  <w:szCs w:val="80"/>
                </w:rPr>
              </w:sdtEndPr>
              <w:sdtContent>
                <w:tc>
                  <w:tcPr>
                    <w:tcW w:w="11016" w:type="dxa"/>
                    <w:tcBorders>
                      <w:bottom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8"/>
                      <w:pageBreakBefore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line="300" w:lineRule="auto"/>
                      <w:jc w:val="center"/>
                      <w:textAlignment w:val="auto"/>
                      <w:rPr>
                        <w:rFonts w:asciiTheme="majorHAnsi" w:hAnsiTheme="majorHAnsi" w:eastAsiaTheme="majorEastAsia" w:cstheme="majorBidi"/>
                        <w:color w:val="auto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auto"/>
                        <w:sz w:val="80"/>
                        <w:szCs w:val="80"/>
                        <w:lang w:val="en-US" w:eastAsia="zh-CN"/>
                      </w:rPr>
                      <w:t>路边停车系统V1.6.0</w:t>
                    </w:r>
                    <w:bookmarkStart w:id="12" w:name="_GoBack"/>
                    <w:bookmarkEnd w:id="12"/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olor w:val="auto"/>
                  <w:sz w:val="44"/>
                  <w:szCs w:val="44"/>
                </w:rPr>
                <w:alias w:val="Subtitle"/>
                <w:id w:val="15524255"/>
                <w:placeholder>
                  <w:docPart w:val="{c0ffdba5-dc23-4548-b385-3cd25befab8b}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color w:val="auto"/>
                  <w:sz w:val="44"/>
                  <w:szCs w:val="44"/>
                  <w:lang w:val="en-US"/>
                </w:rPr>
              </w:sdtEndPr>
              <w:sdtContent>
                <w:tc>
                  <w:tcPr>
                    <w:tcW w:w="11016" w:type="dxa"/>
                    <w:tcBorders>
                      <w:top w:val="single" w:color="3F3F3F" w:themeColor="text1" w:themeTint="BF" w:sz="4" w:space="0"/>
                    </w:tcBorders>
                    <w:vAlign w:val="center"/>
                  </w:tcPr>
                  <w:p>
                    <w:pPr>
                      <w:pStyle w:val="8"/>
                      <w:pageBreakBefore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line="300" w:lineRule="auto"/>
                      <w:jc w:val="center"/>
                      <w:textAlignment w:val="auto"/>
                      <w:rPr>
                        <w:rFonts w:asciiTheme="majorHAnsi" w:hAnsiTheme="majorHAnsi" w:eastAsiaTheme="majorEastAsia" w:cstheme="majorBidi"/>
                        <w:color w:val="auto"/>
                        <w:sz w:val="44"/>
                        <w:szCs w:val="44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auto"/>
                        <w:sz w:val="44"/>
                        <w:szCs w:val="44"/>
                        <w:lang w:eastAsia="zh-CN"/>
                      </w:rPr>
                      <w:t>产品需求说明书V1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8"/>
                  <w:pageBreakBefore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300" w:lineRule="auto"/>
                  <w:jc w:val="center"/>
                  <w:textAlignment w:val="auto"/>
                  <w:rPr>
                    <w:color w:val="auto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8"/>
                  <w:pageBreakBefore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300" w:lineRule="auto"/>
                  <w:jc w:val="center"/>
                  <w:textAlignment w:val="auto"/>
                  <w:rPr>
                    <w:b/>
                    <w:bCs/>
                    <w:color w:val="auto"/>
                  </w:rPr>
                </w:pPr>
                <w:r>
                  <w:rPr>
                    <w:rFonts w:hint="eastAsia"/>
                    <w:b/>
                    <w:bCs/>
                    <w:color w:val="auto"/>
                    <w:lang w:val="en-US" w:eastAsia="zh-CN"/>
                  </w:rPr>
                  <w:t>周钟鑫</w:t>
                </w: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11016" w:type="dxa"/>
                <w:vAlign w:val="center"/>
              </w:tcPr>
              <w:p>
                <w:pPr>
                  <w:pStyle w:val="8"/>
                  <w:pageBreakBefore w:val="0"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/>
                  <w:spacing w:line="300" w:lineRule="auto"/>
                  <w:jc w:val="center"/>
                  <w:textAlignment w:val="auto"/>
                  <w:rPr>
                    <w:rFonts w:hint="eastAsia" w:eastAsiaTheme="minorEastAsia"/>
                    <w:b/>
                    <w:bCs/>
                    <w:color w:val="auto"/>
                    <w:lang w:val="en-US" w:eastAsia="zh-CN"/>
                  </w:rPr>
                </w:pPr>
                <w:r>
                  <w:rPr>
                    <w:rFonts w:hint="eastAsia"/>
                    <w:b/>
                    <w:bCs/>
                    <w:color w:val="auto"/>
                    <w:lang w:val="en-US" w:eastAsia="zh-CN"/>
                  </w:rPr>
                  <w:t>2018-7-26</w:t>
                </w:r>
              </w:p>
            </w:tc>
          </w:tr>
        </w:tbl>
        <w:p>
          <w:pPr>
            <w:pStyle w:val="9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jc w:val="both"/>
            <w:textAlignment w:val="auto"/>
            <w:rPr>
              <w:color w:val="auto"/>
            </w:rPr>
          </w:pPr>
        </w:p>
      </w:sdtContent>
    </w:sdt>
    <w:p>
      <w:pPr>
        <w:pageBreakBefore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Cs w:val="20"/>
        </w:rPr>
      </w:pPr>
      <w:r>
        <w:rPr>
          <w:color w:val="auto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zCs w:val="20"/>
        </w:rPr>
        <w:t>修订历史</w:t>
      </w:r>
    </w:p>
    <w:tbl>
      <w:tblPr>
        <w:tblStyle w:val="6"/>
        <w:tblpPr w:leftFromText="180" w:rightFromText="180" w:vertAnchor="text" w:horzAnchor="page" w:tblpX="1930" w:tblpY="340"/>
        <w:tblOverlap w:val="never"/>
        <w:tblW w:w="8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391"/>
        <w:gridCol w:w="3461"/>
        <w:gridCol w:w="119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  <w:t>版本号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  <w:t>作者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  <w:t>内容提要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  <w:t>文档状态</w:t>
            </w: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  <w:t>V1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  <w:t>周钟鑫</w:t>
            </w: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  <w:t>首次创建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eastAsia="zh-CN"/>
              </w:rPr>
              <w:t>新增</w:t>
            </w: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  <w:t>20180726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3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1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color w:val="auto"/>
        </w:rPr>
      </w:pPr>
      <w:r>
        <w:rPr>
          <w:color w:val="auto"/>
        </w:rP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32" w:leftChars="0" w:hanging="432" w:firstLineChars="0"/>
        <w:textAlignment w:val="auto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全局说明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6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645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645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645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645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645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645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645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/>
                <w:color w:val="auto"/>
                <w:lang w:eastAsia="zh-CN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auto"/>
          <w:lang w:val="en-US" w:eastAsia="zh-CN"/>
        </w:rPr>
      </w:pPr>
      <w:bookmarkStart w:id="0" w:name="_Toc15886"/>
      <w:bookmarkStart w:id="1" w:name="_Toc31429"/>
      <w:bookmarkStart w:id="2" w:name="_Toc11268"/>
      <w:bookmarkStart w:id="3" w:name="_Toc2143"/>
      <w:r>
        <w:rPr>
          <w:rFonts w:hint="eastAsia"/>
          <w:color w:val="auto"/>
          <w:lang w:val="en-US" w:eastAsia="zh-CN"/>
        </w:rPr>
        <w:t>目的</w:t>
      </w:r>
      <w:bookmarkEnd w:id="0"/>
      <w:bookmarkEnd w:id="1"/>
      <w:bookmarkEnd w:id="2"/>
      <w:bookmarkEnd w:id="3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auto"/>
          <w:lang w:val="en-US" w:eastAsia="zh-CN"/>
        </w:rPr>
      </w:pPr>
      <w:bookmarkStart w:id="4" w:name="_Toc19106"/>
      <w:bookmarkStart w:id="5" w:name="_Toc24242"/>
      <w:bookmarkStart w:id="6" w:name="_Toc25502"/>
      <w:bookmarkStart w:id="7" w:name="_Toc15109"/>
      <w:r>
        <w:rPr>
          <w:rFonts w:hint="eastAsia"/>
          <w:color w:val="auto"/>
          <w:lang w:val="en-US" w:eastAsia="zh-CN"/>
        </w:rPr>
        <w:t>背景</w:t>
      </w:r>
      <w:bookmarkEnd w:id="4"/>
      <w:bookmarkEnd w:id="5"/>
      <w:bookmarkEnd w:id="6"/>
      <w:bookmarkEnd w:id="7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auto"/>
          <w:lang w:val="en-US" w:eastAsia="zh-CN"/>
        </w:rPr>
      </w:pPr>
      <w:bookmarkStart w:id="8" w:name="_Toc20322"/>
      <w:bookmarkStart w:id="9" w:name="_Toc29668"/>
      <w:bookmarkStart w:id="10" w:name="_Toc25740"/>
      <w:bookmarkStart w:id="11" w:name="_Toc10609"/>
      <w:r>
        <w:rPr>
          <w:rFonts w:hint="eastAsia"/>
          <w:color w:val="auto"/>
          <w:lang w:val="en-US" w:eastAsia="zh-CN"/>
        </w:rPr>
        <w:t>目的</w:t>
      </w:r>
      <w:bookmarkEnd w:id="8"/>
      <w:bookmarkEnd w:id="9"/>
      <w:bookmarkEnd w:id="10"/>
      <w:bookmarkEnd w:id="1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color w:val="auto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具体功能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收费app-停车登记优化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收费员通过该功能对车辆进行停车登记，不仅可以对非月保车辆进行预收费操作，且可以在车辆月保即将过期时，收费员根据提示语提醒车主续费月票。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业务前提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车辆路边停车。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产品原型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drawing>
          <wp:inline distT="0" distB="0" distL="114935" distR="114935">
            <wp:extent cx="6125845" cy="20986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0855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object>
          <v:shape id="_x0000_i1025" o:spt="75" type="#_x0000_t75" style="height:354.35pt;width:179.45pt;" o:ole="t" fillcolor="#FFFFFF [3212]" filled="t" o:preferrelative="t" stroked="f" coordsize="21600,21600">
            <v:path/>
            <v:fill on="t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异常流程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收费员在产品原型③页面拍照识别车牌后，将显示出“月保标识”和“预收费输入框”；当车辆月保即将3天内过期时，则会显示提示语“</w:t>
      </w:r>
      <w:r>
        <w:rPr>
          <w:rFonts w:hint="eastAsia"/>
          <w:b w:val="0"/>
          <w:bCs w:val="0"/>
          <w:color w:val="FF0000"/>
          <w:lang w:val="en-US" w:eastAsia="zh-CN"/>
        </w:rPr>
        <w:t>月保于N天(N&lt;=3)后过期，请提醒车主续费！</w:t>
      </w:r>
      <w:r>
        <w:rPr>
          <w:rFonts w:hint="eastAsia"/>
          <w:b w:val="0"/>
          <w:bCs w:val="0"/>
          <w:lang w:val="en-US" w:eastAsia="zh-CN"/>
        </w:rPr>
        <w:t>”，以便让收费员提醒车主续费月保。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15" w:leftChars="0" w:firstLine="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月保标识：分为“非月保车”以及“月保车”；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15" w:leftChars="0" w:firstLine="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预收费输入框：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非必填项，输入框提示语为“请输入预收费用”；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当车辆为非月保车时，收费员才需在输入框输入费用。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当收费员修改车牌号后，收费app将通过新的车牌号重新查询该车牌号的月票订单，及时更新月保标识或增加提示语，以便帮助收费员判断是否需要向车主预收费用或提醒车主续费车保。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收费app-离场退款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收费员可通过该功能对之前预收费的车辆进行退款操作，且可以在退款时选择任一优惠券减免停车费用。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业务前提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车辆离场。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产品原型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635" cy="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3385" cy="2451735"/>
            <wp:effectExtent l="0" t="0" r="8255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object>
          <v:shape id="_x0000_i1026" o:spt="75" type="#_x0000_t75" style="height:363.7pt;width:254pt;" o:ole="t" fillcolor="#FFFFFF [3212]" filled="t" o:preferrelative="t" stroked="f" coordsize="21600,21600">
            <v:path/>
            <v:fill on="t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异常流程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产品原型②页面点击任一车辆，收费app将通过后台查询月票订单，以判断该车是否为月保车辆。若为月保车辆，则进入产品原型③页面；若非月保车辆，则继续进一步判断需退款余额是否大于或等于0，金额大于等于0进入产品原型④或产品原型⑤页面，小于0进入【离场收费】页面。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210" w:firstLineChars="1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产品原型③页面：需退款、费用以及已缴费都为0，优惠券默认显示无，并有月保车标识以提醒收费员该车为“月保车”，无需收费即可点击“确认离场”按钮离场；</w:t>
      </w:r>
    </w:p>
    <w:p>
      <w:pPr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210" w:firstLineChars="1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产品原型④页面：后台计算出需退款费用后在收费app上显示，并根据不同的优惠券计算出不同的金额抵扣，点击“更多”展示剩余优惠券。</w:t>
      </w:r>
    </w:p>
    <w:p>
      <w:pPr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0" w:firstLine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优惠券：默认显示3张优惠券，为单选项，且一条停车记录只能使用一张优惠券。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RPMS功能优化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数据查询与数据上报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与POMP对接，RPMS作为第三方项目接入POMP开放平台，通过该平台进行数据查询操作，且将数据上报到POMP。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数据查询：月票订单信息和车牌领券信息。</w:t>
      </w:r>
    </w:p>
    <w:p>
      <w:pPr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数据上报：进出场记录和支付记录（包括商家券使用记录和停车收费流水）。</w:t>
      </w:r>
    </w:p>
    <w:p>
      <w:pPr>
        <w:pStyle w:val="4"/>
        <w:pageBreakBefore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停车点管理-增加预收费开关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业务描述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后台管理员通过【停车点管理】功能的新增与修改操作，开启或关闭收费app的预收费功能。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业务前提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产品原型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</w:pPr>
      <w:r>
        <w:drawing>
          <wp:inline distT="0" distB="0" distL="114300" distR="114300">
            <wp:extent cx="6083935" cy="3020695"/>
            <wp:effectExtent l="0" t="0" r="12065" b="1206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r="97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业务流程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异常流程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业务规则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RPMS的后台配置将会影响收费app是否开启预收费功能。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预收费开关为单选项。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D621C"/>
    <w:multiLevelType w:val="singleLevel"/>
    <w:tmpl w:val="8EFD621C"/>
    <w:lvl w:ilvl="0" w:tentative="0">
      <w:start w:val="1"/>
      <w:numFmt w:val="lowerRoman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9BBBAC1C"/>
    <w:multiLevelType w:val="singleLevel"/>
    <w:tmpl w:val="9BBBAC1C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D03770FC"/>
    <w:multiLevelType w:val="singleLevel"/>
    <w:tmpl w:val="D03770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2BBC9BE"/>
    <w:multiLevelType w:val="singleLevel"/>
    <w:tmpl w:val="D2BBC9BE"/>
    <w:lvl w:ilvl="0" w:tentative="0">
      <w:start w:val="1"/>
      <w:numFmt w:val="lowerRoman"/>
      <w:suff w:val="space"/>
      <w:lvlText w:val="%1."/>
      <w:lvlJc w:val="left"/>
    </w:lvl>
  </w:abstractNum>
  <w:abstractNum w:abstractNumId="4">
    <w:nsid w:val="43E7B5F4"/>
    <w:multiLevelType w:val="singleLevel"/>
    <w:tmpl w:val="43E7B5F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C0ED2B7"/>
    <w:multiLevelType w:val="singleLevel"/>
    <w:tmpl w:val="4C0ED2B7"/>
    <w:lvl w:ilvl="0" w:tentative="0">
      <w:start w:val="1"/>
      <w:numFmt w:val="lowerLetter"/>
      <w:suff w:val="space"/>
      <w:lvlText w:val="%1."/>
      <w:lvlJc w:val="left"/>
      <w:pPr>
        <w:ind w:left="315" w:leftChars="0" w:firstLine="0" w:firstLineChars="0"/>
      </w:pPr>
    </w:lvl>
  </w:abstractNum>
  <w:abstractNum w:abstractNumId="6">
    <w:nsid w:val="4C655A06"/>
    <w:multiLevelType w:val="singleLevel"/>
    <w:tmpl w:val="4C655A0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A1D06D5"/>
    <w:multiLevelType w:val="multilevel"/>
    <w:tmpl w:val="5A1D06D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8">
    <w:nsid w:val="77565963"/>
    <w:multiLevelType w:val="singleLevel"/>
    <w:tmpl w:val="7756596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81027"/>
    <w:rsid w:val="05C91935"/>
    <w:rsid w:val="0E0E5AA5"/>
    <w:rsid w:val="11761597"/>
    <w:rsid w:val="11EA1D9D"/>
    <w:rsid w:val="14DA78A6"/>
    <w:rsid w:val="16C90228"/>
    <w:rsid w:val="1E77648C"/>
    <w:rsid w:val="2A5A27DD"/>
    <w:rsid w:val="2A901498"/>
    <w:rsid w:val="2C0A2E90"/>
    <w:rsid w:val="2DAC51F9"/>
    <w:rsid w:val="2DF34AC2"/>
    <w:rsid w:val="33831F6B"/>
    <w:rsid w:val="342F1F10"/>
    <w:rsid w:val="34667CDF"/>
    <w:rsid w:val="3C8E593B"/>
    <w:rsid w:val="3E3A63EE"/>
    <w:rsid w:val="3E6D4AC4"/>
    <w:rsid w:val="41053E5C"/>
    <w:rsid w:val="43872252"/>
    <w:rsid w:val="4AED0A69"/>
    <w:rsid w:val="4B2F2579"/>
    <w:rsid w:val="4D873A58"/>
    <w:rsid w:val="4ED04CCB"/>
    <w:rsid w:val="514A36A8"/>
    <w:rsid w:val="59C8533D"/>
    <w:rsid w:val="5A465989"/>
    <w:rsid w:val="5E1B3D46"/>
    <w:rsid w:val="5E96511B"/>
    <w:rsid w:val="647742F2"/>
    <w:rsid w:val="6C536B16"/>
    <w:rsid w:val="701B4BA7"/>
    <w:rsid w:val="74810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AxureImageParagraph"/>
    <w:basedOn w:val="1"/>
    <w:qFormat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../NUL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4239e65-c071-4dd8-9a3c-e55009e1339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39e65-c071-4dd8-9a3c-e55009e1339d}"/>
      </w:docPartPr>
      <w:docPartBody>
        <w:p>
          <w:r>
            <w:rPr>
              <w:rFonts w:asciiTheme="majorHAnsi" w:hAnsiTheme="majorHAnsi" w:eastAsiaTheme="majorEastAsia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{c0ffdba5-dc23-4548-b385-3cd25befab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fdba5-dc23-4548-b385-3cd25befab8b}"/>
      </w:docPartPr>
      <w:docPartBody>
        <w:p>
          <w:r>
            <w:rPr>
              <w:rFonts w:asciiTheme="majorHAnsi" w:hAnsiTheme="majorHAnsi" w:eastAsiaTheme="majorEastAsia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ake</dc:creator>
  <cp:lastModifiedBy>ake</cp:lastModifiedBy>
  <dcterms:modified xsi:type="dcterms:W3CDTF">2018-07-27T01:52:04Z</dcterms:modified>
  <dc:subject>产品需求说明书V1</dc:subject>
  <dc:title>路边停车系统V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