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5868"/>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6</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9727"/>
      <w:bookmarkStart w:id="5" w:name="_Toc20292"/>
      <w:bookmarkStart w:id="6" w:name="_Toc21290"/>
      <w:bookmarkStart w:id="7" w:name="_Toc15308"/>
      <w:bookmarkStart w:id="8" w:name="_Toc1002"/>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2018-04-16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V2.16需求文档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0194"/>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_Toc5868 </w:instrText>
      </w:r>
      <w:r>
        <w:fldChar w:fldCharType="separate"/>
      </w:r>
      <w:r>
        <w:rPr>
          <w:rFonts w:hint="eastAsia" w:ascii="黑体" w:hAnsi="黑体" w:eastAsia="黑体" w:cs="黑体"/>
          <w:lang w:val="en-US" w:eastAsia="zh-CN"/>
        </w:rPr>
        <w:t>停车场管理系统V2.16</w:t>
      </w:r>
      <w:r>
        <w:tab/>
      </w:r>
      <w:r>
        <w:fldChar w:fldCharType="begin"/>
      </w:r>
      <w:r>
        <w:instrText xml:space="preserve"> PAGEREF _Toc5868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_Toc1002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_Toc1002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_Toc20194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_Toc20194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_Toc19413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_Toc19413 </w:instrText>
      </w:r>
      <w:r>
        <w:fldChar w:fldCharType="separate"/>
      </w:r>
      <w:r>
        <w:t>5</w:t>
      </w:r>
      <w:r>
        <w:fldChar w:fldCharType="end"/>
      </w:r>
      <w:r>
        <w:fldChar w:fldCharType="end"/>
      </w:r>
    </w:p>
    <w:p>
      <w:pPr>
        <w:pStyle w:val="8"/>
        <w:tabs>
          <w:tab w:val="right" w:leader="dot" w:pos="9746"/>
        </w:tabs>
      </w:pPr>
      <w:r>
        <w:fldChar w:fldCharType="begin"/>
      </w:r>
      <w:r>
        <w:instrText xml:space="preserve"> HYPERLINK \l _Toc16470 </w:instrText>
      </w:r>
      <w:r>
        <w:fldChar w:fldCharType="separate"/>
      </w:r>
      <w:r>
        <w:rPr>
          <w:rFonts w:hint="eastAsia" w:ascii="黑体" w:hAnsi="黑体" w:eastAsia="黑体" w:cs="黑体"/>
          <w:lang w:val="en-US" w:eastAsia="zh-CN"/>
        </w:rPr>
        <w:t>1.目的</w:t>
      </w:r>
      <w:r>
        <w:tab/>
      </w:r>
      <w:r>
        <w:fldChar w:fldCharType="begin"/>
      </w:r>
      <w:r>
        <w:instrText xml:space="preserve"> PAGEREF _Toc16470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_Toc20979 </w:instrText>
      </w:r>
      <w:r>
        <w:fldChar w:fldCharType="separate"/>
      </w:r>
      <w:r>
        <w:rPr>
          <w:rFonts w:hint="eastAsia" w:ascii="黑体" w:hAnsi="黑体" w:eastAsia="黑体" w:cs="黑体"/>
          <w:lang w:val="en-US" w:eastAsia="zh-CN"/>
        </w:rPr>
        <w:t>1.1背景</w:t>
      </w:r>
      <w:r>
        <w:tab/>
      </w:r>
      <w:r>
        <w:fldChar w:fldCharType="begin"/>
      </w:r>
      <w:r>
        <w:instrText xml:space="preserve"> PAGEREF _Toc20979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_Toc31788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_Toc31788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_Toc6917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_Toc6917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_Toc30176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_Toc30176 </w:instrText>
      </w:r>
      <w:r>
        <w:fldChar w:fldCharType="separate"/>
      </w:r>
      <w:r>
        <w:t>8</w:t>
      </w:r>
      <w:r>
        <w:fldChar w:fldCharType="end"/>
      </w:r>
      <w:r>
        <w:fldChar w:fldCharType="end"/>
      </w:r>
    </w:p>
    <w:p>
      <w:pPr>
        <w:pStyle w:val="8"/>
        <w:tabs>
          <w:tab w:val="right" w:leader="dot" w:pos="9746"/>
        </w:tabs>
      </w:pPr>
      <w:r>
        <w:fldChar w:fldCharType="begin"/>
      </w:r>
      <w:r>
        <w:instrText xml:space="preserve"> HYPERLINK \l _Toc20301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_Toc20301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_Toc5247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_Toc5247 </w:instrText>
      </w:r>
      <w:r>
        <w:fldChar w:fldCharType="separate"/>
      </w:r>
      <w:r>
        <w:t>8</w:t>
      </w:r>
      <w:r>
        <w:fldChar w:fldCharType="end"/>
      </w:r>
      <w:r>
        <w:fldChar w:fldCharType="end"/>
      </w:r>
    </w:p>
    <w:p>
      <w:pPr>
        <w:pStyle w:val="10"/>
        <w:tabs>
          <w:tab w:val="right" w:leader="dot" w:pos="9746"/>
        </w:tabs>
      </w:pPr>
      <w:r>
        <w:fldChar w:fldCharType="begin"/>
      </w:r>
      <w:r>
        <w:instrText xml:space="preserve"> HYPERLINK \l _Toc25134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_Toc25134 </w:instrText>
      </w:r>
      <w:r>
        <w:fldChar w:fldCharType="separate"/>
      </w:r>
      <w:r>
        <w:t>8</w:t>
      </w:r>
      <w:r>
        <w:fldChar w:fldCharType="end"/>
      </w:r>
      <w:r>
        <w:fldChar w:fldCharType="end"/>
      </w:r>
    </w:p>
    <w:p>
      <w:pPr>
        <w:pStyle w:val="6"/>
        <w:tabs>
          <w:tab w:val="right" w:leader="dot" w:pos="9746"/>
        </w:tabs>
      </w:pPr>
      <w:r>
        <w:fldChar w:fldCharType="begin"/>
      </w:r>
      <w:r>
        <w:instrText xml:space="preserve"> HYPERLINK \l _Toc11326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_Toc11326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_Toc21475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_Toc21475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_Toc11747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_Toc11747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_Toc17863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_Toc17863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_Toc606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_Toc606 </w:instrText>
      </w:r>
      <w:r>
        <w:fldChar w:fldCharType="separate"/>
      </w:r>
      <w:r>
        <w:t>9</w:t>
      </w:r>
      <w:r>
        <w:fldChar w:fldCharType="end"/>
      </w:r>
      <w:r>
        <w:fldChar w:fldCharType="end"/>
      </w:r>
    </w:p>
    <w:p>
      <w:pPr>
        <w:pStyle w:val="9"/>
        <w:tabs>
          <w:tab w:val="right" w:leader="dot" w:pos="9746"/>
        </w:tabs>
      </w:pPr>
      <w:r>
        <w:fldChar w:fldCharType="begin"/>
      </w:r>
      <w:r>
        <w:instrText xml:space="preserve"> HYPERLINK \l _Toc7684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_Toc7684 </w:instrText>
      </w:r>
      <w:r>
        <w:fldChar w:fldCharType="separate"/>
      </w:r>
      <w:r>
        <w:t>10</w:t>
      </w:r>
      <w:r>
        <w:fldChar w:fldCharType="end"/>
      </w:r>
      <w:r>
        <w:fldChar w:fldCharType="end"/>
      </w:r>
    </w:p>
    <w:p>
      <w:pPr>
        <w:pStyle w:val="6"/>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30"/>
          <w:lang w:val="en-US" w:eastAsia="zh-CN"/>
        </w:rPr>
        <w:t>3.2.2开放平台接口相关需求</w:t>
      </w:r>
      <w:r>
        <w:tab/>
      </w:r>
      <w:r>
        <w:fldChar w:fldCharType="begin"/>
      </w:r>
      <w:r>
        <w:instrText xml:space="preserve"> PAGEREF _Toc31809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_Toc7593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_Toc7593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_Toc22019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_Toc22019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_Toc9330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_Toc9330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_Toc11043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_Toc11043 </w:instrText>
      </w:r>
      <w:r>
        <w:fldChar w:fldCharType="separate"/>
      </w:r>
      <w:r>
        <w:t>10</w:t>
      </w:r>
      <w:r>
        <w:fldChar w:fldCharType="end"/>
      </w:r>
      <w:r>
        <w:fldChar w:fldCharType="end"/>
      </w:r>
    </w:p>
    <w:p>
      <w:pPr>
        <w:pStyle w:val="9"/>
        <w:tabs>
          <w:tab w:val="right" w:leader="dot" w:pos="9746"/>
        </w:tabs>
      </w:pPr>
      <w:r>
        <w:fldChar w:fldCharType="begin"/>
      </w:r>
      <w:r>
        <w:instrText xml:space="preserve"> HYPERLINK \l _Toc30660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_Toc30660 </w:instrText>
      </w:r>
      <w:r>
        <w:fldChar w:fldCharType="separate"/>
      </w:r>
      <w:r>
        <w:t>11</w:t>
      </w:r>
      <w:r>
        <w:fldChar w:fldCharType="end"/>
      </w:r>
      <w:r>
        <w:fldChar w:fldCharType="end"/>
      </w:r>
    </w:p>
    <w:p>
      <w:pPr>
        <w:pStyle w:val="6"/>
        <w:tabs>
          <w:tab w:val="right" w:leader="dot" w:pos="9746"/>
        </w:tabs>
      </w:pPr>
      <w:r>
        <w:fldChar w:fldCharType="begin"/>
      </w:r>
      <w:r>
        <w:instrText xml:space="preserve"> HYPERLINK \l _Toc2992 </w:instrText>
      </w:r>
      <w:r>
        <w:fldChar w:fldCharType="separate"/>
      </w:r>
      <w:r>
        <w:rPr>
          <w:rFonts w:hint="eastAsia" w:ascii="黑体" w:hAnsi="黑体" w:eastAsia="黑体" w:cs="黑体"/>
          <w:szCs w:val="30"/>
          <w:lang w:val="en-US" w:eastAsia="zh-CN"/>
        </w:rPr>
        <w:t>3.2.3修复岗亭端放行原因为必填</w:t>
      </w:r>
      <w:r>
        <w:tab/>
      </w:r>
      <w:r>
        <w:fldChar w:fldCharType="begin"/>
      </w:r>
      <w:r>
        <w:instrText xml:space="preserve"> PAGEREF _Toc2992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_Toc20149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_Toc20149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_Toc1212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_Toc1212 </w:instrText>
      </w:r>
      <w:r>
        <w:fldChar w:fldCharType="separate"/>
      </w:r>
      <w:r>
        <w:t>11</w:t>
      </w:r>
      <w:r>
        <w:fldChar w:fldCharType="end"/>
      </w:r>
      <w:r>
        <w:fldChar w:fldCharType="end"/>
      </w:r>
    </w:p>
    <w:p>
      <w:pPr>
        <w:pStyle w:val="9"/>
        <w:tabs>
          <w:tab w:val="right" w:leader="dot" w:pos="9746"/>
        </w:tabs>
      </w:pPr>
      <w:r>
        <w:fldChar w:fldCharType="begin"/>
      </w:r>
      <w:r>
        <w:instrText xml:space="preserve"> HYPERLINK \l _Toc13073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_Toc13073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_Toc3527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_Toc1973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_Toc1973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_Toc2600 </w:instrText>
      </w:r>
      <w:r>
        <w:fldChar w:fldCharType="separate"/>
      </w:r>
      <w:r>
        <w:rPr>
          <w:rFonts w:hint="eastAsia" w:ascii="黑体" w:hAnsi="黑体" w:eastAsia="黑体" w:cs="黑体"/>
          <w:szCs w:val="30"/>
          <w:lang w:val="en-US" w:eastAsia="zh-CN"/>
        </w:rPr>
        <w:t>3.2.4 增加VIP批量续期的二次弹窗</w:t>
      </w:r>
      <w:r>
        <w:tab/>
      </w:r>
      <w:r>
        <w:fldChar w:fldCharType="begin"/>
      </w:r>
      <w:r>
        <w:instrText xml:space="preserve"> PAGEREF _Toc2600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_Toc18119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_Toc18119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_Toc18162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_Toc18162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_Toc24200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_Toc24200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_Toc24821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_Toc24821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_Toc2514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_Toc2514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_Toc7106 </w:instrText>
      </w:r>
      <w:r>
        <w:fldChar w:fldCharType="separate"/>
      </w:r>
      <w:r>
        <w:rPr>
          <w:rFonts w:hint="eastAsia" w:ascii="黑体" w:hAnsi="黑体" w:eastAsia="黑体" w:cs="黑体"/>
          <w:szCs w:val="30"/>
          <w:lang w:val="en-US" w:eastAsia="zh-CN"/>
        </w:rPr>
        <w:t>3.2.5 VIP开通续费模块-VIP名称改为下拉框</w:t>
      </w:r>
      <w:r>
        <w:tab/>
      </w:r>
      <w:r>
        <w:fldChar w:fldCharType="begin"/>
      </w:r>
      <w:r>
        <w:instrText xml:space="preserve"> PAGEREF _Toc7106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_Toc10633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_Toc10633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_Toc14817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_Toc14817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_Toc3713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_Toc3713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_Toc10134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_Toc10134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_Toc24490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_Toc24490 </w:instrText>
      </w:r>
      <w:r>
        <w:fldChar w:fldCharType="separate"/>
      </w:r>
      <w:r>
        <w:t>14</w:t>
      </w:r>
      <w:r>
        <w:fldChar w:fldCharType="end"/>
      </w:r>
      <w:r>
        <w:fldChar w:fldCharType="end"/>
      </w:r>
    </w:p>
    <w:p>
      <w:pPr>
        <w:pStyle w:val="6"/>
        <w:tabs>
          <w:tab w:val="right" w:leader="dot" w:pos="9746"/>
        </w:tabs>
      </w:pPr>
      <w:r>
        <w:fldChar w:fldCharType="begin"/>
      </w:r>
      <w:r>
        <w:instrText xml:space="preserve"> HYPERLINK \l _Toc5349 </w:instrText>
      </w:r>
      <w:r>
        <w:fldChar w:fldCharType="separate"/>
      </w:r>
      <w:r>
        <w:rPr>
          <w:rFonts w:hint="eastAsia" w:ascii="黑体" w:hAnsi="黑体" w:eastAsia="黑体" w:cs="黑体"/>
          <w:szCs w:val="30"/>
          <w:lang w:val="en-US" w:eastAsia="zh-CN"/>
        </w:rPr>
        <w:t>3.2.6 VIP开通续费增加二次确认弹窗</w:t>
      </w:r>
      <w:r>
        <w:tab/>
      </w:r>
      <w:r>
        <w:fldChar w:fldCharType="begin"/>
      </w:r>
      <w:r>
        <w:instrText xml:space="preserve"> PAGEREF _Toc5349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_Toc26239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_Toc26239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_Toc16575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_Toc16575 </w:instrText>
      </w:r>
      <w:r>
        <w:fldChar w:fldCharType="separate"/>
      </w:r>
      <w:r>
        <w:t>15</w:t>
      </w:r>
      <w:r>
        <w:fldChar w:fldCharType="end"/>
      </w:r>
      <w:r>
        <w:fldChar w:fldCharType="end"/>
      </w:r>
    </w:p>
    <w:p>
      <w:pPr>
        <w:pStyle w:val="9"/>
        <w:tabs>
          <w:tab w:val="right" w:leader="dot" w:pos="9746"/>
        </w:tabs>
      </w:pPr>
      <w:r>
        <w:fldChar w:fldCharType="begin"/>
      </w:r>
      <w:r>
        <w:instrText xml:space="preserve"> HYPERLINK \l _Toc7179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_Toc7179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_Toc1651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_Toc1651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_Toc25348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_Toc25348 </w:instrText>
      </w:r>
      <w:r>
        <w:fldChar w:fldCharType="separate"/>
      </w:r>
      <w:r>
        <w:t>16</w:t>
      </w:r>
      <w:r>
        <w:fldChar w:fldCharType="end"/>
      </w:r>
      <w:r>
        <w:fldChar w:fldCharType="end"/>
      </w:r>
    </w:p>
    <w:p>
      <w:pPr>
        <w:pStyle w:val="6"/>
        <w:tabs>
          <w:tab w:val="right" w:leader="dot" w:pos="9746"/>
        </w:tabs>
      </w:pPr>
      <w:r>
        <w:fldChar w:fldCharType="begin"/>
      </w:r>
      <w:r>
        <w:instrText xml:space="preserve"> HYPERLINK \l _Toc2017 </w:instrText>
      </w:r>
      <w:r>
        <w:fldChar w:fldCharType="separate"/>
      </w:r>
      <w:r>
        <w:rPr>
          <w:rFonts w:hint="eastAsia" w:ascii="黑体" w:hAnsi="黑体" w:eastAsia="黑体" w:cs="黑体"/>
          <w:szCs w:val="30"/>
          <w:lang w:val="en-US" w:eastAsia="zh-CN"/>
        </w:rPr>
        <w:t>3.2.7 地上地下嵌入停车场可设置共有免费时长</w:t>
      </w:r>
      <w:r>
        <w:tab/>
      </w:r>
      <w:r>
        <w:fldChar w:fldCharType="begin"/>
      </w:r>
      <w:r>
        <w:instrText xml:space="preserve"> PAGEREF _Toc2017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_Toc32715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_Toc32715 </w:instrText>
      </w:r>
      <w:r>
        <w:fldChar w:fldCharType="separate"/>
      </w:r>
      <w:r>
        <w:t>16</w:t>
      </w:r>
      <w:r>
        <w:fldChar w:fldCharType="end"/>
      </w:r>
      <w:r>
        <w:fldChar w:fldCharType="end"/>
      </w:r>
    </w:p>
    <w:p>
      <w:pPr>
        <w:pStyle w:val="9"/>
        <w:tabs>
          <w:tab w:val="right" w:leader="dot" w:pos="9746"/>
        </w:tabs>
      </w:pPr>
      <w:r>
        <w:fldChar w:fldCharType="begin"/>
      </w:r>
      <w:r>
        <w:instrText xml:space="preserve"> HYPERLINK \l _Toc25085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_Toc25085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_Toc9548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_Toc9548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_Toc1692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_Toc1692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_Toc26142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_Toc26142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_Toc28086 </w:instrText>
      </w:r>
      <w:r>
        <w:fldChar w:fldCharType="separate"/>
      </w:r>
      <w:r>
        <w:rPr>
          <w:rFonts w:hint="eastAsia" w:ascii="黑体" w:hAnsi="黑体" w:eastAsia="黑体" w:cs="黑体"/>
          <w:szCs w:val="30"/>
          <w:lang w:val="en-US" w:eastAsia="zh-CN"/>
        </w:rPr>
        <w:t>3.2.8 嵌入停车场出口收费界面显示整次停车</w:t>
      </w:r>
      <w:r>
        <w:tab/>
      </w:r>
      <w:r>
        <w:fldChar w:fldCharType="begin"/>
      </w:r>
      <w:r>
        <w:instrText xml:space="preserve"> PAGEREF _Toc28086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_Toc4937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r>
        <w:tab/>
      </w:r>
      <w:r>
        <w:fldChar w:fldCharType="begin"/>
      </w:r>
      <w:r>
        <w:instrText xml:space="preserve"> PAGEREF _Toc4937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_Toc8556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r>
        <w:tab/>
      </w:r>
      <w:r>
        <w:fldChar w:fldCharType="begin"/>
      </w:r>
      <w:r>
        <w:instrText xml:space="preserve"> PAGEREF _Toc8556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_Toc7839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r>
        <w:tab/>
      </w:r>
      <w:r>
        <w:fldChar w:fldCharType="begin"/>
      </w:r>
      <w:r>
        <w:instrText xml:space="preserve"> PAGEREF _Toc7839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_Toc924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_Toc1173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_Toc1173 </w:instrText>
      </w:r>
      <w:r>
        <w:fldChar w:fldCharType="separate"/>
      </w:r>
      <w:r>
        <w:t>20</w:t>
      </w:r>
      <w:r>
        <w:fldChar w:fldCharType="end"/>
      </w:r>
      <w:r>
        <w:fldChar w:fldCharType="end"/>
      </w:r>
    </w:p>
    <w:p>
      <w:pPr>
        <w:pStyle w:val="6"/>
        <w:tabs>
          <w:tab w:val="right" w:leader="dot" w:pos="9746"/>
        </w:tabs>
      </w:pPr>
      <w:r>
        <w:fldChar w:fldCharType="begin"/>
      </w:r>
      <w:r>
        <w:instrText xml:space="preserve"> HYPERLINK \l _Toc24782 </w:instrText>
      </w:r>
      <w:r>
        <w:fldChar w:fldCharType="separate"/>
      </w:r>
      <w:r>
        <w:rPr>
          <w:rFonts w:hint="eastAsia" w:ascii="黑体" w:hAnsi="黑体" w:eastAsia="黑体" w:cs="黑体"/>
          <w:szCs w:val="30"/>
          <w:lang w:val="en-US" w:eastAsia="zh-CN"/>
        </w:rPr>
        <w:t>3.2.9 屏蔽VEMS数据权限的区分</w:t>
      </w:r>
      <w:r>
        <w:tab/>
      </w:r>
      <w:r>
        <w:fldChar w:fldCharType="begin"/>
      </w:r>
      <w:r>
        <w:instrText xml:space="preserve"> PAGEREF _Toc24782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_Toc8680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_Toc8680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_Toc17334 </w:instrText>
      </w:r>
      <w:r>
        <w:fldChar w:fldCharType="separate"/>
      </w:r>
      <w:r>
        <w:rPr>
          <w:rFonts w:hint="eastAsia" w:ascii="黑体" w:hAnsi="黑体" w:eastAsia="黑体" w:cs="黑体"/>
          <w:szCs w:val="22"/>
          <w:lang w:val="en-US" w:eastAsia="zh-CN"/>
        </w:rPr>
        <w:t>3.2.9.2原型界面</w:t>
      </w:r>
      <w:r>
        <w:tab/>
      </w:r>
      <w:r>
        <w:fldChar w:fldCharType="begin"/>
      </w:r>
      <w:r>
        <w:instrText xml:space="preserve"> PAGEREF _Toc17334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_Toc15274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_Toc15274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_Toc21925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_Toc21925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_Toc29792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_Toc29792 </w:instrText>
      </w:r>
      <w:r>
        <w:fldChar w:fldCharType="separate"/>
      </w:r>
      <w:r>
        <w:t>22</w:t>
      </w:r>
      <w:r>
        <w:fldChar w:fldCharType="end"/>
      </w:r>
      <w:r>
        <w:fldChar w:fldCharType="end"/>
      </w:r>
    </w:p>
    <w:p>
      <w:pPr>
        <w:pStyle w:val="8"/>
        <w:tabs>
          <w:tab w:val="right" w:leader="dot" w:pos="9746"/>
        </w:tabs>
      </w:pPr>
      <w:r>
        <w:fldChar w:fldCharType="begin"/>
      </w:r>
      <w:r>
        <w:instrText xml:space="preserve"> HYPERLINK \l _Toc15258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_Toc15258 </w:instrText>
      </w:r>
      <w:r>
        <w:fldChar w:fldCharType="separate"/>
      </w:r>
      <w:r>
        <w:t>22</w:t>
      </w:r>
      <w:r>
        <w:fldChar w:fldCharType="end"/>
      </w:r>
      <w:r>
        <w:fldChar w:fldCharType="end"/>
      </w:r>
    </w:p>
    <w:p>
      <w:pPr>
        <w:pStyle w:val="8"/>
        <w:tabs>
          <w:tab w:val="right" w:leader="dot" w:pos="9746"/>
        </w:tabs>
      </w:pPr>
      <w:r>
        <w:fldChar w:fldCharType="begin"/>
      </w:r>
      <w:r>
        <w:instrText xml:space="preserve"> HYPERLINK \l _Toc32597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_Toc32597 </w:instrText>
      </w:r>
      <w:r>
        <w:fldChar w:fldCharType="separate"/>
      </w:r>
      <w:r>
        <w:t>22</w:t>
      </w:r>
      <w:r>
        <w:fldChar w:fldCharType="end"/>
      </w:r>
      <w:r>
        <w:fldChar w:fldCharType="end"/>
      </w:r>
    </w:p>
    <w:p>
      <w:pPr>
        <w:pStyle w:val="8"/>
        <w:tabs>
          <w:tab w:val="right" w:leader="dot" w:pos="9746"/>
        </w:tabs>
      </w:pPr>
      <w:r>
        <w:fldChar w:fldCharType="begin"/>
      </w:r>
      <w:r>
        <w:instrText xml:space="preserve"> HYPERLINK \l _Toc7387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_Toc7387 </w:instrText>
      </w:r>
      <w:r>
        <w:fldChar w:fldCharType="separate"/>
      </w:r>
      <w:r>
        <w:t>23</w:t>
      </w:r>
      <w:r>
        <w:fldChar w:fldCharType="end"/>
      </w:r>
      <w:r>
        <w:fldChar w:fldCharType="end"/>
      </w:r>
    </w:p>
    <w:p>
      <w:pPr>
        <w:pStyle w:val="8"/>
        <w:tabs>
          <w:tab w:val="right" w:leader="dot" w:pos="9746"/>
        </w:tabs>
      </w:pPr>
      <w:r>
        <w:fldChar w:fldCharType="begin"/>
      </w:r>
      <w:r>
        <w:instrText xml:space="preserve"> HYPERLINK \l _Toc11093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_Toc11093 </w:instrText>
      </w:r>
      <w:r>
        <w:fldChar w:fldCharType="separate"/>
      </w:r>
      <w:r>
        <w:t>23</w:t>
      </w:r>
      <w:r>
        <w:fldChar w:fldCharType="end"/>
      </w:r>
      <w:r>
        <w:fldChar w:fldCharType="end"/>
      </w:r>
    </w:p>
    <w:p>
      <w:pPr>
        <w:pStyle w:val="10"/>
        <w:tabs>
          <w:tab w:val="right" w:leader="dot" w:pos="9746"/>
        </w:tabs>
      </w:pPr>
      <w:r>
        <w:fldChar w:fldCharType="begin"/>
      </w:r>
      <w:r>
        <w:instrText xml:space="preserve"> HYPERLINK \l _Toc10035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_Toc10035 </w:instrText>
      </w:r>
      <w:r>
        <w:fldChar w:fldCharType="separate"/>
      </w:r>
      <w:r>
        <w:t>23</w:t>
      </w:r>
      <w:r>
        <w:fldChar w:fldCharType="end"/>
      </w:r>
      <w:r>
        <w:fldChar w:fldCharType="end"/>
      </w:r>
    </w:p>
    <w:p>
      <w:pPr>
        <w:pStyle w:val="10"/>
        <w:tabs>
          <w:tab w:val="right" w:leader="dot" w:pos="9746"/>
        </w:tabs>
      </w:pPr>
      <w:r>
        <w:fldChar w:fldCharType="begin"/>
      </w:r>
      <w:r>
        <w:instrText xml:space="preserve"> HYPERLINK \l _Toc26728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_Toc26728 </w:instrText>
      </w:r>
      <w:r>
        <w:fldChar w:fldCharType="separate"/>
      </w:r>
      <w:r>
        <w:t>23</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6893"/>
      <w:bookmarkStart w:id="12" w:name="_Toc23227"/>
      <w:bookmarkStart w:id="13" w:name="_Toc17589"/>
      <w:bookmarkStart w:id="14" w:name="_Toc28513"/>
      <w:bookmarkStart w:id="15" w:name="_Toc19413"/>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15886"/>
      <w:bookmarkStart w:id="20" w:name="_Toc2143"/>
      <w:bookmarkStart w:id="21" w:name="_Toc16470"/>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5502"/>
      <w:bookmarkStart w:id="23" w:name="_Toc19106"/>
      <w:bookmarkStart w:id="24" w:name="_Toc15109"/>
      <w:bookmarkStart w:id="25" w:name="_Toc20979"/>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V2.16的迭代需求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0322"/>
      <w:bookmarkStart w:id="27" w:name="_Toc10609"/>
      <w:bookmarkStart w:id="28" w:name="_Toc29668"/>
      <w:bookmarkStart w:id="29" w:name="_Toc31788"/>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8131"/>
      <w:bookmarkStart w:id="32" w:name="_Toc10744"/>
      <w:bookmarkStart w:id="33" w:name="_Toc6917"/>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30176"/>
      <w:r>
        <w:rPr>
          <w:rFonts w:hint="eastAsia" w:ascii="黑体" w:hAnsi="黑体" w:eastAsia="黑体" w:cs="黑体"/>
          <w:szCs w:val="22"/>
          <w:lang w:val="en-US" w:eastAsia="zh-CN"/>
        </w:rPr>
        <w:t>关键业务流程</w:t>
      </w:r>
      <w:bookmarkEnd w:id="34"/>
      <w:bookmarkEnd w:id="35"/>
      <w:bookmarkEnd w:id="36"/>
    </w:p>
    <w:p>
      <w:pPr>
        <w:numPr>
          <w:ilvl w:val="0"/>
          <w:numId w:val="0"/>
        </w:numPr>
        <w:tabs>
          <w:tab w:val="left" w:pos="2245"/>
        </w:tabs>
        <w:ind w:firstLine="420" w:firstLineChars="200"/>
        <w:rPr>
          <w:rFonts w:hint="eastAsia" w:ascii="Arial" w:hAnsi="Arial" w:eastAsia="宋体" w:cs="Arial"/>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13346"/>
      <w:bookmarkStart w:id="38" w:name="_Toc16460"/>
      <w:bookmarkStart w:id="39" w:name="_Toc27684"/>
      <w:bookmarkStart w:id="40" w:name="_Toc20301"/>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12815"/>
      <w:bookmarkStart w:id="42" w:name="_Toc2749"/>
      <w:bookmarkStart w:id="43" w:name="_Toc26890"/>
      <w:bookmarkStart w:id="44" w:name="_Toc5247"/>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6170" cy="3376295"/>
            <wp:effectExtent l="0" t="0" r="11430" b="1905"/>
            <wp:docPr id="36" name="图片 36" descr="E:\工作夹\AKE\2017\-产品\思维导图\VEMS\V2.16\VEMS V2.16版本功能点.pngVEMS V2.1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工作夹\AKE\2017\-产品\思维导图\VEMS\V2.16\VEMS V2.16版本功能点.pngVEMS V2.16版本功能点"/>
                    <pic:cNvPicPr>
                      <a:picLocks noChangeAspect="1"/>
                    </pic:cNvPicPr>
                  </pic:nvPicPr>
                  <pic:blipFill>
                    <a:blip r:embed="rId5"/>
                    <a:srcRect/>
                    <a:stretch>
                      <a:fillRect/>
                    </a:stretch>
                  </pic:blipFill>
                  <pic:spPr>
                    <a:xfrm>
                      <a:off x="0" y="0"/>
                      <a:ext cx="6186170" cy="33762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3212"/>
      <w:bookmarkStart w:id="46" w:name="_Toc28457"/>
      <w:bookmarkStart w:id="47" w:name="_Toc25134"/>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516"/>
      <w:bookmarkStart w:id="49" w:name="_Toc28219"/>
      <w:bookmarkStart w:id="50" w:name="_Toc11326"/>
      <w:r>
        <w:rPr>
          <w:rFonts w:hint="eastAsia" w:ascii="黑体" w:hAnsi="黑体" w:eastAsia="黑体" w:cs="黑体"/>
          <w:sz w:val="30"/>
          <w:szCs w:val="30"/>
          <w:lang w:val="en-US" w:eastAsia="zh-CN"/>
        </w:rPr>
        <w:t>3.2.1</w:t>
      </w:r>
      <w:bookmarkEnd w:id="48"/>
      <w:bookmarkEnd w:id="49"/>
      <w:r>
        <w:rPr>
          <w:rFonts w:hint="eastAsia" w:ascii="黑体" w:hAnsi="黑体" w:eastAsia="黑体" w:cs="黑体"/>
          <w:sz w:val="30"/>
          <w:szCs w:val="30"/>
          <w:lang w:val="en-US" w:eastAsia="zh-CN"/>
        </w:rPr>
        <w:t>兼容XP系统41版本chrome浏览器</w:t>
      </w:r>
      <w:bookmarkEnd w:id="5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1533"/>
      <w:bookmarkStart w:id="52" w:name="_Toc214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1、将windows环境下</w:t>
      </w:r>
      <w:r>
        <w:rPr>
          <w:rFonts w:hint="eastAsia" w:ascii="黑体" w:hAnsi="黑体" w:eastAsia="黑体" w:cs="黑体"/>
          <w:b w:val="0"/>
          <w:bCs w:val="0"/>
          <w:color w:val="FF0000"/>
          <w:sz w:val="21"/>
          <w:szCs w:val="21"/>
          <w:lang w:val="en-US" w:eastAsia="zh-CN"/>
        </w:rPr>
        <w:t>XP系统</w:t>
      </w:r>
      <w:r>
        <w:rPr>
          <w:rFonts w:hint="eastAsia" w:ascii="黑体" w:hAnsi="黑体" w:eastAsia="黑体" w:cs="黑体"/>
          <w:b w:val="0"/>
          <w:bCs w:val="0"/>
          <w:sz w:val="21"/>
          <w:szCs w:val="21"/>
          <w:lang w:val="en-US" w:eastAsia="zh-CN"/>
        </w:rPr>
        <w:t>的兼容浏览器版本放宽至</w:t>
      </w:r>
      <w:r>
        <w:rPr>
          <w:rFonts w:hint="eastAsia" w:ascii="黑体" w:hAnsi="黑体" w:eastAsia="黑体" w:cs="黑体"/>
          <w:b w:val="0"/>
          <w:bCs w:val="0"/>
          <w:color w:val="FF0000"/>
          <w:sz w:val="21"/>
          <w:szCs w:val="21"/>
          <w:lang w:val="en-US" w:eastAsia="zh-CN"/>
        </w:rPr>
        <w:t>Chrome41</w:t>
      </w:r>
      <w:r>
        <w:rPr>
          <w:rFonts w:hint="eastAsia" w:ascii="黑体" w:hAnsi="黑体" w:eastAsia="黑体" w:cs="黑体"/>
          <w:b w:val="0"/>
          <w:bCs w:val="0"/>
          <w:sz w:val="21"/>
          <w:szCs w:val="21"/>
          <w:lang w:val="en-US" w:eastAsia="zh-CN"/>
        </w:rPr>
        <w:t>及以上；（</w:t>
      </w:r>
      <w:r>
        <w:rPr>
          <w:rFonts w:hint="eastAsia" w:ascii="黑体" w:hAnsi="黑体" w:eastAsia="黑体" w:cs="黑体"/>
          <w:b w:val="0"/>
          <w:bCs w:val="0"/>
          <w:color w:val="FF0000"/>
          <w:sz w:val="21"/>
          <w:szCs w:val="21"/>
          <w:lang w:val="en-US" w:eastAsia="zh-CN"/>
        </w:rPr>
        <w:t>原来为Chrome50以上</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2、当用户使用不兼容浏览器登录时，蒙版弹窗提示用户浏览器不兼容，列出兼容的浏览器。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3、当前兼容的浏览器：Windows环境 IE10以上和Chrome41及以上，Linux环境 Chromium31.0，Ipad环境 Chrome50及以上。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约束规则：</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（1）用户每次打开系统（包括管理端、岗亭端、中央收费）检测到为不兼容浏览器后进行toast弹窗提示；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（2）toast弹窗不可关闭，可直接关闭系统窗口。（即不兼容浏览器时，不支持用户使用系统）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18884"/>
      <w:bookmarkStart w:id="54" w:name="_Toc1174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8710" cy="3462655"/>
            <wp:effectExtent l="0" t="0" r="8890" b="44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6188710" cy="34626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17752"/>
      <w:bookmarkStart w:id="56" w:name="_Toc1786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9670"/>
      <w:bookmarkStart w:id="58" w:name="_Toc60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6875"/>
      <w:bookmarkStart w:id="60" w:name="_Toc76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1" w:name="_Toc31809"/>
      <w:r>
        <w:rPr>
          <w:rFonts w:hint="eastAsia" w:ascii="黑体" w:hAnsi="黑体" w:eastAsia="黑体" w:cs="黑体"/>
          <w:sz w:val="30"/>
          <w:szCs w:val="30"/>
          <w:lang w:val="en-US" w:eastAsia="zh-CN"/>
        </w:rPr>
        <w:t>3.2.2开放平台接口相关需求</w:t>
      </w:r>
      <w:bookmarkEnd w:id="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759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开放平台相关接口需求，包括以下六个接口需求：</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（1）设置基本类型显示及语音播报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（2）设置指定VIP类型显示及语音播报（月卡、储值卡类型）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（3）改造下发收费规则接口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（4）黑名单上报接口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（5）获取VEMS系统菜单树接口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（6）启用/禁用VEMS菜单功能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详情见接口文档。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201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93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1104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3066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7" w:name="_Toc2992"/>
      <w:r>
        <w:rPr>
          <w:rFonts w:hint="eastAsia" w:ascii="黑体" w:hAnsi="黑体" w:eastAsia="黑体" w:cs="黑体"/>
          <w:sz w:val="30"/>
          <w:szCs w:val="30"/>
          <w:lang w:val="en-US" w:eastAsia="zh-CN"/>
        </w:rPr>
        <w:t>3.2.3修复岗亭端放行原因为必填</w:t>
      </w:r>
      <w:bookmarkEnd w:id="6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8" w:name="_Toc2014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当前岗亭端强制确认放行原因和异常放行原因的模式下，用户依然可以不选择/不填写确认放行原因，选择自填时不能自动跳出文本框等问题。此版本要优化此类问题。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121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入口确认放行勾选原因后，放行原因下拉框默认选择一个原因；</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若用户选择“自填”，则弹出下拉文本框，下拉文本框默认必填，用户未填写原因将不能执行确认放行操作，提示用户“请填写确认放行原因”。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83630" cy="2839720"/>
            <wp:effectExtent l="0" t="0" r="1270"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6183630" cy="283972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出口配置了强制异常放行原因后，放行原因下拉框必选。</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用户未选择/未填写异常放行原因，点击“异常放行”按钮时提示“请填入异常放行原因”。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2581910"/>
            <wp:effectExtent l="0" t="0" r="12065" b="8890"/>
            <wp:docPr id="2" name="图片 2" descr="修复岗亭端_放行原因为必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修复岗亭端_放行原因为必填"/>
                    <pic:cNvPicPr>
                      <a:picLocks noChangeAspect="1"/>
                    </pic:cNvPicPr>
                  </pic:nvPicPr>
                  <pic:blipFill>
                    <a:blip r:embed="rId8"/>
                    <a:stretch>
                      <a:fillRect/>
                    </a:stretch>
                  </pic:blipFill>
                  <pic:spPr>
                    <a:xfrm>
                      <a:off x="0" y="0"/>
                      <a:ext cx="6185535" cy="2581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130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52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19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3" w:name="_GoBack"/>
      <w:bookmarkEnd w:id="153"/>
      <w:bookmarkStart w:id="73" w:name="_Toc2600"/>
      <w:r>
        <w:rPr>
          <w:rFonts w:hint="eastAsia" w:ascii="黑体" w:hAnsi="黑体" w:eastAsia="黑体" w:cs="黑体"/>
          <w:sz w:val="30"/>
          <w:szCs w:val="30"/>
          <w:lang w:val="en-US" w:eastAsia="zh-CN"/>
        </w:rPr>
        <w:t>3.2.4 增加VIP批量续期的二次弹窗</w:t>
      </w:r>
      <w:bookmarkEnd w:id="7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4" w:name="_Toc1811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4"/>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当前点击批量续期，确认操作后将直接执行操作，容易在不知情的情况下误操作，为所有VIP票续期；</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为批量续期VIP票添加二次确认弹窗，用户点击确认时，根据用户的筛选条件提示用户：“根据筛选条件，将会为XX条符合条件的VIP信息进行续期操作，确认续期吗？”。</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用户确认操作后执行续期操作，用户取消则回退到上个页面。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816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5535" cy="3248025"/>
            <wp:effectExtent l="0" t="0" r="12065" b="3175"/>
            <wp:docPr id="20" name="图片 20" descr="E:\工作夹\AKE\2017\-产品\原型导出图片\VEMS\V2.16\增加vip批量续期的二次确认弹窗.png增加vip批量续期的二次确认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工作夹\AKE\2017\-产品\原型导出图片\VEMS\V2.16\增加vip批量续期的二次确认弹窗.png增加vip批量续期的二次确认弹窗"/>
                    <pic:cNvPicPr>
                      <a:picLocks noChangeAspect="1"/>
                    </pic:cNvPicPr>
                  </pic:nvPicPr>
                  <pic:blipFill>
                    <a:blip r:embed="rId9"/>
                    <a:srcRect/>
                    <a:stretch>
                      <a:fillRect/>
                    </a:stretch>
                  </pic:blipFill>
                  <pic:spPr>
                    <a:xfrm>
                      <a:off x="0" y="0"/>
                      <a:ext cx="6185535" cy="32480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24200"/>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48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251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9" w:name="_Toc7106"/>
      <w:r>
        <w:rPr>
          <w:rFonts w:hint="eastAsia" w:ascii="黑体" w:hAnsi="黑体" w:eastAsia="黑体" w:cs="黑体"/>
          <w:sz w:val="30"/>
          <w:szCs w:val="30"/>
          <w:lang w:val="en-US" w:eastAsia="zh-CN"/>
        </w:rPr>
        <w:t>3.2.5 VIP开通续费模块-VIP名称改为下拉框</w:t>
      </w:r>
      <w:bookmarkEnd w:id="7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0" w:name="_Toc1063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将原来“VIP名称”的输入框改为动态变化下拉框，根据用户添加的VIP名称确定下拉框的内容。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1481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1150"/>
            <wp:effectExtent l="0" t="0" r="8890" b="6350"/>
            <wp:docPr id="23" name="图片 23" descr="vip开通续费模块vip名称改为下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ip开通续费模块vip名称改为下拉框"/>
                    <pic:cNvPicPr>
                      <a:picLocks noChangeAspect="1"/>
                    </pic:cNvPicPr>
                  </pic:nvPicPr>
                  <pic:blipFill>
                    <a:blip r:embed="rId10"/>
                    <a:stretch>
                      <a:fillRect/>
                    </a:stretch>
                  </pic:blipFill>
                  <pic:spPr>
                    <a:xfrm>
                      <a:off x="0" y="0"/>
                      <a:ext cx="6188710" cy="28511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371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013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449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5" w:name="_Toc5349"/>
      <w:r>
        <w:rPr>
          <w:rFonts w:hint="eastAsia" w:ascii="黑体" w:hAnsi="黑体" w:eastAsia="黑体" w:cs="黑体"/>
          <w:sz w:val="30"/>
          <w:szCs w:val="30"/>
          <w:lang w:val="en-US" w:eastAsia="zh-CN"/>
        </w:rPr>
        <w:t>3.2.6 VIP开通续费增加二次确认弹窗</w:t>
      </w:r>
      <w:bookmarkEnd w:id="8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6" w:name="_Toc2623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6"/>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在开通、续期和重开VIP操作中需要提供二次确认的弹窗；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用户点击保存时先判断用户输入的信息是否符合开通/续期/重开VIP的条件；</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如果不符合条件，在不符合条件的内容上提示用户修改为符合条件的参数；</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判断填入的信息符合条件后，再弹出二次确认弹窗；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二次确认弹窗内容包括开通/续期/重开的VIP名称、车主姓名、车牌号码、VIP有效期和折后价；</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用户确认后执行开通/续期/重开VIP操作，取消则回退到上一步。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657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710"/>
            <wp:effectExtent l="0" t="0" r="10160" b="8890"/>
            <wp:docPr id="26" name="图片 26" descr="vip开通续费增加二次确认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ip开通续费增加二次确认弹窗1"/>
                    <pic:cNvPicPr>
                      <a:picLocks noChangeAspect="1"/>
                    </pic:cNvPicPr>
                  </pic:nvPicPr>
                  <pic:blipFill>
                    <a:blip r:embed="rId11"/>
                    <a:stretch>
                      <a:fillRect/>
                    </a:stretch>
                  </pic:blipFill>
                  <pic:spPr>
                    <a:xfrm>
                      <a:off x="0" y="0"/>
                      <a:ext cx="6187440" cy="25057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505075"/>
            <wp:effectExtent l="0" t="0" r="10160" b="9525"/>
            <wp:docPr id="27" name="图片 27" descr="E:\工作夹\AKE\2017\-产品\原型导出图片\VEMS\V2.16\vip开通续费增加二次确认弹窗2.pngvip开通续费增加二次确认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VEMS\V2.16\vip开通续费增加二次确认弹窗2.pngvip开通续费增加二次确认弹窗2"/>
                    <pic:cNvPicPr>
                      <a:picLocks noChangeAspect="1"/>
                    </pic:cNvPicPr>
                  </pic:nvPicPr>
                  <pic:blipFill>
                    <a:blip r:embed="rId12"/>
                    <a:srcRect/>
                    <a:stretch>
                      <a:fillRect/>
                    </a:stretch>
                  </pic:blipFill>
                  <pic:spPr>
                    <a:xfrm>
                      <a:off x="0" y="0"/>
                      <a:ext cx="6187440" cy="25050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2447925"/>
            <wp:effectExtent l="0" t="0" r="10160" b="3175"/>
            <wp:docPr id="28" name="图片 28" descr="vip开通续费增加二次确认弹窗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vip开通续费增加二次确认弹窗3"/>
                    <pic:cNvPicPr>
                      <a:picLocks noChangeAspect="1"/>
                    </pic:cNvPicPr>
                  </pic:nvPicPr>
                  <pic:blipFill>
                    <a:blip r:embed="rId13"/>
                    <a:stretch>
                      <a:fillRect/>
                    </a:stretch>
                  </pic:blipFill>
                  <pic:spPr>
                    <a:xfrm>
                      <a:off x="0" y="0"/>
                      <a:ext cx="6187440" cy="24479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717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65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34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1" w:name="_Toc2017"/>
      <w:r>
        <w:rPr>
          <w:rFonts w:hint="eastAsia" w:ascii="黑体" w:hAnsi="黑体" w:eastAsia="黑体" w:cs="黑体"/>
          <w:sz w:val="30"/>
          <w:szCs w:val="30"/>
          <w:lang w:val="en-US" w:eastAsia="zh-CN"/>
        </w:rPr>
        <w:t>3.2.7 地上地下嵌入停车场可设置共有免费时长</w:t>
      </w:r>
      <w:bookmarkEnd w:id="9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2" w:name="_Toc3271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当前地上地下嵌入停车场 整次停车内同个区域不同时间段分别拥有免费时长（即延时结算非合并），经现场反馈，需开发延时结算合并功能，共用免费时长。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508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170" cy="4042410"/>
            <wp:effectExtent l="0" t="0" r="11430" b="8890"/>
            <wp:docPr id="6" name="图片 6" descr="地上地下嵌入停车场可设置共有免费时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地上地下嵌入停车场可设置共有免费时长"/>
                    <pic:cNvPicPr>
                      <a:picLocks noChangeAspect="1"/>
                    </pic:cNvPicPr>
                  </pic:nvPicPr>
                  <pic:blipFill>
                    <a:blip r:embed="rId14"/>
                    <a:stretch>
                      <a:fillRect/>
                    </a:stretch>
                  </pic:blipFill>
                  <pic:spPr>
                    <a:xfrm>
                      <a:off x="0" y="0"/>
                      <a:ext cx="6186170" cy="40424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业务说明一：</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在结算类型下拉框后面增加一个“</w:t>
      </w:r>
      <w:r>
        <w:rPr>
          <w:rFonts w:hint="eastAsia" w:ascii="黑体" w:hAnsi="黑体" w:eastAsia="黑体" w:cs="黑体"/>
          <w:b w:val="0"/>
          <w:bCs w:val="0"/>
          <w:color w:val="FF0000"/>
          <w:sz w:val="21"/>
          <w:szCs w:val="21"/>
          <w:lang w:val="en-US" w:eastAsia="zh-CN"/>
        </w:rPr>
        <w:t>问号</w:t>
      </w:r>
      <w:r>
        <w:rPr>
          <w:rFonts w:hint="eastAsia" w:ascii="黑体" w:hAnsi="黑体" w:eastAsia="黑体" w:cs="黑体"/>
          <w:b w:val="0"/>
          <w:bCs w:val="0"/>
          <w:sz w:val="21"/>
          <w:szCs w:val="21"/>
          <w:lang w:val="en-US" w:eastAsia="zh-CN"/>
        </w:rPr>
        <w:t>”，点击“问号”弹出弹窗，弹窗内容为对结算类型定义的详细解释。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（1）非结算通道：车辆从该通道离场，不计算账单不收取停车费。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（2）实时结算通道：车辆从该通道离场，立即计算账单并收取停车费。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（3）延时结算非合并：车辆从该通道离场，立即计算账单但推延到实时结算通道再收取停车费；收取停车费用时，相同区域结算账单不合并，都有免费时长可用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（4）延时结算合并：车辆从该通道离场，即计算账单但推延到实时结算通道再收取停车费；收取停车费用时，相同区域的结算账单合并为一个结算账单，即共用一段免费时长。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业务说明二：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（1）停车场管理-通道配置-新增/编辑-结算类型 增加</w:t>
      </w:r>
      <w:r>
        <w:rPr>
          <w:rFonts w:hint="eastAsia" w:ascii="黑体" w:hAnsi="黑体" w:eastAsia="黑体" w:cs="黑体"/>
          <w:b w:val="0"/>
          <w:bCs w:val="0"/>
          <w:color w:val="FF0000"/>
          <w:sz w:val="21"/>
          <w:szCs w:val="21"/>
          <w:lang w:val="en-US" w:eastAsia="zh-CN"/>
        </w:rPr>
        <w:t>“延时结算合并”</w:t>
      </w:r>
      <w:r>
        <w:rPr>
          <w:rFonts w:hint="eastAsia" w:ascii="黑体" w:hAnsi="黑体" w:eastAsia="黑体" w:cs="黑体"/>
          <w:b w:val="0"/>
          <w:bCs w:val="0"/>
          <w:sz w:val="21"/>
          <w:szCs w:val="21"/>
          <w:lang w:val="en-US" w:eastAsia="zh-CN"/>
        </w:rPr>
        <w:t>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（2）当通道设定结算类型为“延时结算合并”时，整次停车记录中，同个区域内的账单进行合并，共用免费停车时长；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（3）当通道设定结算类型为“延时结算非合并”时，整次停车记录中，同个区域内不同时间段的账单不进行合并，分别计免费时长。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“延时结算合并”和“延时结算非合并”的区别</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如下图所示：停车场存在AB两个计费区域，车主从A区域的1口进入，在2口进入B区域，B区域停车一段时间后，从B区域的3口出到A区域，再从A区域的4口出去。假设A区域的免费时长为10分钟，车主在A区域1口进2口出停车10分钟，3口进4口出停车10分钟，在B区域停车30分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6170" cy="4310380"/>
            <wp:effectExtent l="0" t="0" r="11430" b="7620"/>
            <wp:docPr id="32" name="图片 32" descr="延时结算合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延时结算合并"/>
                    <pic:cNvPicPr>
                      <a:picLocks noChangeAspect="1"/>
                    </pic:cNvPicPr>
                  </pic:nvPicPr>
                  <pic:blipFill>
                    <a:blip r:embed="rId15"/>
                    <a:stretch>
                      <a:fillRect/>
                    </a:stretch>
                  </pic:blipFill>
                  <pic:spPr>
                    <a:xfrm>
                      <a:off x="0" y="0"/>
                      <a:ext cx="6186170" cy="43103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（1）延时结算合并：A区域1口进2口出的账单和3口进4口出的账单需合并，此时车主在A区域共停车20分钟，免费时长10分钟，即A区域的停车账单为按照收费规则收取10分钟的停车费用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延时结算非合并：A区域两段停车账单不合并，分别计算免费时长，那么1口进2口出的停车时段有10分钟的免费时长，3口进4口出的停车时段也有10分钟的免费时长。此时免费时长可覆盖停车时长，A区域的停车费用个为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954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69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2614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7" w:name="_Toc27623"/>
      <w:bookmarkStart w:id="98" w:name="_Toc28086"/>
      <w:r>
        <w:rPr>
          <w:rFonts w:hint="eastAsia" w:ascii="黑体" w:hAnsi="黑体" w:eastAsia="黑体" w:cs="黑体"/>
          <w:sz w:val="30"/>
          <w:szCs w:val="30"/>
          <w:lang w:val="en-US" w:eastAsia="zh-CN"/>
        </w:rPr>
        <w:t>3.2.</w:t>
      </w:r>
      <w:bookmarkEnd w:id="97"/>
      <w:r>
        <w:rPr>
          <w:rFonts w:hint="eastAsia" w:ascii="黑体" w:hAnsi="黑体" w:eastAsia="黑体" w:cs="黑体"/>
          <w:sz w:val="30"/>
          <w:szCs w:val="30"/>
          <w:lang w:val="en-US" w:eastAsia="zh-CN"/>
        </w:rPr>
        <w:t>8 嵌入停车场出口收费界面显示整次停车</w:t>
      </w:r>
      <w:bookmarkEnd w:id="9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493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w:t>
      </w:r>
      <w:r>
        <w:rPr>
          <w:rFonts w:hint="eastAsia" w:ascii="黑体" w:hAnsi="黑体" w:cs="黑体"/>
          <w:szCs w:val="22"/>
          <w:lang w:val="en-US" w:eastAsia="zh-CN"/>
        </w:rPr>
        <w:t>功能说明</w:t>
      </w:r>
      <w:bookmarkEnd w:id="9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（1）车主出整个停车场的时候,需要展示的是整次停车的进场时间和停车时长，而不是最后一段区域的进场时间、停车时长。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（2）包括打印凭条/发票在内的进场时间和停车时长都以整次停车的进场时间和停车时长为准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855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w:t>
      </w:r>
      <w:r>
        <w:rPr>
          <w:rFonts w:hint="eastAsia" w:ascii="黑体" w:hAnsi="黑体" w:cs="黑体"/>
          <w:szCs w:val="22"/>
          <w:lang w:val="en-US" w:eastAsia="zh-CN"/>
        </w:rPr>
        <w:t>原型界面</w:t>
      </w:r>
      <w:bookmarkEnd w:id="10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2847975"/>
            <wp:effectExtent l="0" t="0" r="9525" b="9525"/>
            <wp:docPr id="33" name="图片 33" descr="E:\工作夹\AKE\2017\-产品\原型导出图片\VEMS\V2.16\嵌入停车场出口收费界面显示整次停车.png嵌入停车场出口收费界面显示整次停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6\嵌入停车场出口收费界面显示整次停车.png嵌入停车场出口收费界面显示整次停车"/>
                    <pic:cNvPicPr>
                      <a:picLocks noChangeAspect="1"/>
                    </pic:cNvPicPr>
                  </pic:nvPicPr>
                  <pic:blipFill>
                    <a:blip r:embed="rId16"/>
                    <a:srcRect/>
                    <a:stretch>
                      <a:fillRect/>
                    </a:stretch>
                  </pic:blipFill>
                  <pic:spPr>
                    <a:xfrm>
                      <a:off x="0" y="0"/>
                      <a:ext cx="6188075"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783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w:t>
      </w:r>
      <w:r>
        <w:rPr>
          <w:rFonts w:hint="eastAsia" w:ascii="黑体" w:hAnsi="黑体" w:cs="黑体"/>
          <w:szCs w:val="22"/>
          <w:lang w:val="en-US" w:eastAsia="zh-CN"/>
        </w:rPr>
        <w:t>流程图</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92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17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4" w:name="_Toc24782"/>
      <w:r>
        <w:rPr>
          <w:rFonts w:hint="eastAsia" w:ascii="黑体" w:hAnsi="黑体" w:eastAsia="黑体" w:cs="黑体"/>
          <w:sz w:val="30"/>
          <w:szCs w:val="30"/>
          <w:lang w:val="en-US" w:eastAsia="zh-CN"/>
        </w:rPr>
        <w:t>3.2.9 屏蔽VEMS数据权限的区分</w:t>
      </w:r>
      <w:bookmarkEnd w:id="10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05" w:name="_Toc86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（1）屏蔽VEMS对数据权限的区分，将系统管理-停车场分组管理这个模块屏蔽；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（2）去掉“系统用户管理”中的“设置停车场分组”按钮；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（3）新增“系统用户”时，默认该用户拥有停车场所有的数据权限，功能权限以设置的角色权限为准。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17334"/>
      <w:r>
        <w:rPr>
          <w:rFonts w:hint="eastAsia" w:ascii="黑体" w:hAnsi="黑体" w:eastAsia="黑体" w:cs="黑体"/>
          <w:szCs w:val="22"/>
          <w:lang w:val="en-US" w:eastAsia="zh-CN"/>
        </w:rPr>
        <w:t>3.2.9</w:t>
      </w:r>
      <w:r>
        <w:rPr>
          <w:rFonts w:hint="eastAsia" w:ascii="黑体" w:hAnsi="黑体" w:eastAsia="黑体" w:cs="黑体"/>
          <w:szCs w:val="22"/>
          <w:lang w:val="en-US" w:eastAsia="zh-CN"/>
        </w:rPr>
        <w:t>.2原型界面</w:t>
      </w:r>
      <w:bookmarkEnd w:id="10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6178550" cy="2853055"/>
            <wp:effectExtent l="0" t="0" r="635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6178550" cy="285305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6178550" cy="288671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6178550" cy="288671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527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192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79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0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0" w:name="_Toc19556"/>
      <w:bookmarkStart w:id="111" w:name="_Toc5080"/>
      <w:bookmarkStart w:id="112" w:name="_Toc32243"/>
      <w:bookmarkStart w:id="113" w:name="_Toc15258"/>
      <w:r>
        <w:rPr>
          <w:rFonts w:hint="eastAsia" w:ascii="黑体" w:hAnsi="黑体" w:eastAsia="黑体" w:cs="黑体"/>
          <w:szCs w:val="22"/>
          <w:lang w:val="en-US" w:eastAsia="zh-CN"/>
        </w:rPr>
        <w:t>4.非功能性需求</w:t>
      </w:r>
      <w:bookmarkEnd w:id="110"/>
      <w:bookmarkEnd w:id="111"/>
      <w:bookmarkEnd w:id="112"/>
      <w:bookmarkEnd w:id="113"/>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14" w:name="_Toc7429177"/>
            <w:bookmarkEnd w:id="114"/>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15" w:name="_Toc20296"/>
      <w:bookmarkEnd w:id="115"/>
      <w:bookmarkStart w:id="116" w:name="_Toc31005"/>
      <w:bookmarkEnd w:id="116"/>
      <w:bookmarkStart w:id="117" w:name="_Toc16300"/>
      <w:bookmarkEnd w:id="117"/>
      <w:bookmarkStart w:id="118"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9" w:name="_Toc7736"/>
      <w:bookmarkStart w:id="120" w:name="_Toc13821"/>
      <w:bookmarkStart w:id="121" w:name="_Toc10698"/>
      <w:bookmarkStart w:id="122" w:name="_Toc32597"/>
      <w:r>
        <w:rPr>
          <w:rFonts w:hint="eastAsia" w:ascii="黑体" w:hAnsi="黑体" w:eastAsia="黑体" w:cs="黑体"/>
          <w:szCs w:val="22"/>
          <w:lang w:val="en-US" w:eastAsia="zh-CN"/>
        </w:rPr>
        <w:t>5.外部接口说明</w:t>
      </w:r>
      <w:bookmarkEnd w:id="118"/>
      <w:bookmarkEnd w:id="119"/>
      <w:bookmarkEnd w:id="120"/>
      <w:bookmarkEnd w:id="121"/>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3" w:name="_Toc4050"/>
      <w:bookmarkEnd w:id="123"/>
      <w:bookmarkStart w:id="124" w:name="_Toc2018"/>
      <w:bookmarkEnd w:id="124"/>
      <w:bookmarkStart w:id="125" w:name="_Toc9737"/>
      <w:bookmarkEnd w:id="125"/>
      <w:bookmarkStart w:id="126" w:name="_Toc3907"/>
      <w:bookmarkStart w:id="127" w:name="_Toc1804"/>
      <w:bookmarkStart w:id="128" w:name="_Toc2635"/>
      <w:bookmarkStart w:id="129" w:name="_Toc28063"/>
      <w:bookmarkStart w:id="130" w:name="_Toc7387"/>
      <w:r>
        <w:rPr>
          <w:rFonts w:hint="eastAsia" w:ascii="黑体" w:hAnsi="黑体" w:eastAsia="黑体" w:cs="黑体"/>
          <w:szCs w:val="22"/>
          <w:lang w:val="en-US" w:eastAsia="zh-CN"/>
        </w:rPr>
        <w:t>6.附件</w:t>
      </w:r>
      <w:bookmarkEnd w:id="126"/>
      <w:bookmarkEnd w:id="127"/>
      <w:bookmarkEnd w:id="128"/>
      <w:bookmarkEnd w:id="129"/>
      <w:bookmarkEnd w:id="13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1" w:name="_Toc7732"/>
      <w:bookmarkEnd w:id="131"/>
      <w:bookmarkStart w:id="132" w:name="_Toc12766"/>
      <w:bookmarkEnd w:id="132"/>
      <w:bookmarkStart w:id="133" w:name="_Toc8307"/>
      <w:bookmarkEnd w:id="133"/>
      <w:bookmarkStart w:id="134" w:name="_Toc19341"/>
      <w:bookmarkStart w:id="135" w:name="_Toc4384"/>
      <w:bookmarkStart w:id="136" w:name="_Toc21233"/>
      <w:bookmarkStart w:id="137" w:name="_Toc23728"/>
      <w:bookmarkStart w:id="138" w:name="_Toc11093"/>
      <w:r>
        <w:rPr>
          <w:rFonts w:hint="eastAsia" w:ascii="黑体" w:hAnsi="黑体" w:eastAsia="黑体" w:cs="黑体"/>
          <w:szCs w:val="22"/>
          <w:lang w:val="en-US" w:eastAsia="zh-CN"/>
        </w:rPr>
        <w:t>7.附录</w:t>
      </w:r>
      <w:bookmarkEnd w:id="134"/>
      <w:bookmarkEnd w:id="135"/>
      <w:bookmarkEnd w:id="136"/>
      <w:bookmarkEnd w:id="137"/>
      <w:bookmarkEnd w:id="138"/>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25562"/>
      <w:bookmarkEnd w:id="139"/>
      <w:bookmarkStart w:id="140" w:name="_Toc20160"/>
      <w:bookmarkEnd w:id="140"/>
      <w:bookmarkStart w:id="141" w:name="_Toc10464"/>
      <w:bookmarkStart w:id="142" w:name="_Toc17965"/>
      <w:bookmarkStart w:id="143" w:name="_Toc22105"/>
      <w:bookmarkStart w:id="144" w:name="_Toc18023"/>
      <w:bookmarkStart w:id="145" w:name="_Toc1003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41"/>
      <w:bookmarkEnd w:id="142"/>
      <w:bookmarkEnd w:id="143"/>
      <w:bookmarkEnd w:id="144"/>
      <w:bookmarkEnd w:id="14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6" w:name="_Toc1779"/>
      <w:bookmarkEnd w:id="146"/>
      <w:bookmarkStart w:id="147" w:name="_Toc32744"/>
      <w:bookmarkEnd w:id="147"/>
      <w:bookmarkStart w:id="148" w:name="_Toc14509"/>
      <w:bookmarkStart w:id="149" w:name="_Toc14972"/>
      <w:bookmarkStart w:id="150" w:name="_Toc9981"/>
      <w:bookmarkStart w:id="151" w:name="_Toc2158"/>
      <w:bookmarkStart w:id="152" w:name="_Toc26728"/>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48"/>
      <w:bookmarkEnd w:id="149"/>
      <w:bookmarkEnd w:id="150"/>
      <w:bookmarkEnd w:id="151"/>
      <w:bookmarkEnd w:id="15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809A61"/>
    <w:multiLevelType w:val="singleLevel"/>
    <w:tmpl w:val="9A809A61"/>
    <w:lvl w:ilvl="0" w:tentative="0">
      <w:start w:val="1"/>
      <w:numFmt w:val="decimal"/>
      <w:suff w:val="nothing"/>
      <w:lvlText w:val="（%1）"/>
      <w:lvlJc w:val="left"/>
    </w:lvl>
  </w:abstractNum>
  <w:abstractNum w:abstractNumId="1">
    <w:nsid w:val="FAF4FB66"/>
    <w:multiLevelType w:val="singleLevel"/>
    <w:tmpl w:val="FAF4FB66"/>
    <w:lvl w:ilvl="0" w:tentative="0">
      <w:start w:val="1"/>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abstractNum w:abstractNumId="11">
    <w:nsid w:val="59FF3F2B"/>
    <w:multiLevelType w:val="singleLevel"/>
    <w:tmpl w:val="59FF3F2B"/>
    <w:lvl w:ilvl="0" w:tentative="0">
      <w:start w:val="2"/>
      <w:numFmt w:val="decimal"/>
      <w:lvlText w:val="%1."/>
      <w:lvlJc w:val="left"/>
      <w:pPr>
        <w:tabs>
          <w:tab w:val="left" w:pos="312"/>
        </w:tabs>
      </w:pPr>
    </w:lvl>
  </w:abstractNum>
  <w:abstractNum w:abstractNumId="12">
    <w:nsid w:val="63BB8A40"/>
    <w:multiLevelType w:val="singleLevel"/>
    <w:tmpl w:val="63BB8A40"/>
    <w:lvl w:ilvl="0" w:tentative="0">
      <w:start w:val="1"/>
      <w:numFmt w:val="decimal"/>
      <w:suff w:val="nothing"/>
      <w:lvlText w:val="（%1）"/>
      <w:lvlJc w:val="left"/>
    </w:lvl>
  </w:abstractNum>
  <w:num w:numId="1">
    <w:abstractNumId w:val="9"/>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0"/>
  </w:num>
  <w:num w:numId="10">
    <w:abstractNumId w:val="11"/>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2801CB"/>
    <w:rsid w:val="00613967"/>
    <w:rsid w:val="018242F4"/>
    <w:rsid w:val="024B37A3"/>
    <w:rsid w:val="026D5330"/>
    <w:rsid w:val="033A199A"/>
    <w:rsid w:val="040E5A59"/>
    <w:rsid w:val="05AB5C01"/>
    <w:rsid w:val="06790052"/>
    <w:rsid w:val="06965B1A"/>
    <w:rsid w:val="079A47E8"/>
    <w:rsid w:val="08D5481F"/>
    <w:rsid w:val="09941166"/>
    <w:rsid w:val="09F32BAB"/>
    <w:rsid w:val="0A0D76F2"/>
    <w:rsid w:val="0A4B57DB"/>
    <w:rsid w:val="0A722F6F"/>
    <w:rsid w:val="0A7F6570"/>
    <w:rsid w:val="0A961516"/>
    <w:rsid w:val="0ACB59BB"/>
    <w:rsid w:val="0B3C4D22"/>
    <w:rsid w:val="0C30635A"/>
    <w:rsid w:val="0CB964AE"/>
    <w:rsid w:val="0CF80CF3"/>
    <w:rsid w:val="0D032EA5"/>
    <w:rsid w:val="0DCD53A7"/>
    <w:rsid w:val="0DD103FE"/>
    <w:rsid w:val="0DD126A9"/>
    <w:rsid w:val="0E1F52D0"/>
    <w:rsid w:val="0E9C1059"/>
    <w:rsid w:val="0F0236E3"/>
    <w:rsid w:val="0F486C53"/>
    <w:rsid w:val="1028417C"/>
    <w:rsid w:val="10D122A2"/>
    <w:rsid w:val="11C7542F"/>
    <w:rsid w:val="12D55585"/>
    <w:rsid w:val="146D61C8"/>
    <w:rsid w:val="149A5FCB"/>
    <w:rsid w:val="14E13803"/>
    <w:rsid w:val="15E472B5"/>
    <w:rsid w:val="16B0525A"/>
    <w:rsid w:val="16F31782"/>
    <w:rsid w:val="16F34B95"/>
    <w:rsid w:val="176D6C52"/>
    <w:rsid w:val="17BE328B"/>
    <w:rsid w:val="18E35A71"/>
    <w:rsid w:val="19584E70"/>
    <w:rsid w:val="19605506"/>
    <w:rsid w:val="19C13593"/>
    <w:rsid w:val="19E91023"/>
    <w:rsid w:val="1AA0131F"/>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9983B16"/>
    <w:rsid w:val="2A5869D8"/>
    <w:rsid w:val="2B4D5E51"/>
    <w:rsid w:val="2BE4184C"/>
    <w:rsid w:val="2C5113AD"/>
    <w:rsid w:val="2C94733E"/>
    <w:rsid w:val="2D46206F"/>
    <w:rsid w:val="2D6A6053"/>
    <w:rsid w:val="2D8B5444"/>
    <w:rsid w:val="2E34253D"/>
    <w:rsid w:val="2EE36A68"/>
    <w:rsid w:val="2FAA1E1A"/>
    <w:rsid w:val="30BF1C98"/>
    <w:rsid w:val="30EC03B7"/>
    <w:rsid w:val="31E72325"/>
    <w:rsid w:val="320150B9"/>
    <w:rsid w:val="328F2334"/>
    <w:rsid w:val="33026B42"/>
    <w:rsid w:val="35483586"/>
    <w:rsid w:val="35C52F59"/>
    <w:rsid w:val="35D84143"/>
    <w:rsid w:val="362408DD"/>
    <w:rsid w:val="369854D5"/>
    <w:rsid w:val="386540D4"/>
    <w:rsid w:val="386C6852"/>
    <w:rsid w:val="39281FB8"/>
    <w:rsid w:val="393D2BDA"/>
    <w:rsid w:val="39D5106B"/>
    <w:rsid w:val="39F53151"/>
    <w:rsid w:val="3A6A0CCC"/>
    <w:rsid w:val="3AFF0E52"/>
    <w:rsid w:val="3D467BE1"/>
    <w:rsid w:val="3D5D2FFF"/>
    <w:rsid w:val="3DF914CD"/>
    <w:rsid w:val="3DFE637F"/>
    <w:rsid w:val="3E2157EC"/>
    <w:rsid w:val="3E6720EA"/>
    <w:rsid w:val="3ED3687C"/>
    <w:rsid w:val="3FC265CD"/>
    <w:rsid w:val="3FF60A94"/>
    <w:rsid w:val="40043DFF"/>
    <w:rsid w:val="42067127"/>
    <w:rsid w:val="420C7426"/>
    <w:rsid w:val="42DB6867"/>
    <w:rsid w:val="43252B94"/>
    <w:rsid w:val="43904F14"/>
    <w:rsid w:val="43D26F53"/>
    <w:rsid w:val="43E45AEF"/>
    <w:rsid w:val="4498440D"/>
    <w:rsid w:val="450565BC"/>
    <w:rsid w:val="452E2E59"/>
    <w:rsid w:val="45540C09"/>
    <w:rsid w:val="45D7126C"/>
    <w:rsid w:val="46DF3B94"/>
    <w:rsid w:val="47833BDF"/>
    <w:rsid w:val="47AC127C"/>
    <w:rsid w:val="47EF11F9"/>
    <w:rsid w:val="48AD65D4"/>
    <w:rsid w:val="4A5E6C7E"/>
    <w:rsid w:val="4AF0125F"/>
    <w:rsid w:val="4B3A05C6"/>
    <w:rsid w:val="4E00011F"/>
    <w:rsid w:val="4E2C764D"/>
    <w:rsid w:val="4F0E2692"/>
    <w:rsid w:val="4F1A3377"/>
    <w:rsid w:val="509E0051"/>
    <w:rsid w:val="50B5370D"/>
    <w:rsid w:val="50C33CE7"/>
    <w:rsid w:val="546B10E1"/>
    <w:rsid w:val="54E52557"/>
    <w:rsid w:val="55173F32"/>
    <w:rsid w:val="56D01A3A"/>
    <w:rsid w:val="570B58F6"/>
    <w:rsid w:val="570C4E8E"/>
    <w:rsid w:val="57865A3B"/>
    <w:rsid w:val="58622DE9"/>
    <w:rsid w:val="588E1E50"/>
    <w:rsid w:val="58B32063"/>
    <w:rsid w:val="59E30BD5"/>
    <w:rsid w:val="5A036482"/>
    <w:rsid w:val="5A130B5E"/>
    <w:rsid w:val="5B3B3E73"/>
    <w:rsid w:val="5C0E5D17"/>
    <w:rsid w:val="5CBC2BB0"/>
    <w:rsid w:val="5D6D3580"/>
    <w:rsid w:val="5F597D9F"/>
    <w:rsid w:val="5F784F8C"/>
    <w:rsid w:val="5FC46BEE"/>
    <w:rsid w:val="60834BCD"/>
    <w:rsid w:val="60DA2B09"/>
    <w:rsid w:val="63AB0A11"/>
    <w:rsid w:val="644D276C"/>
    <w:rsid w:val="64930956"/>
    <w:rsid w:val="65740DE3"/>
    <w:rsid w:val="65C50433"/>
    <w:rsid w:val="672B1A97"/>
    <w:rsid w:val="674C78E8"/>
    <w:rsid w:val="67CC2AF6"/>
    <w:rsid w:val="689632EB"/>
    <w:rsid w:val="69022C50"/>
    <w:rsid w:val="694533AA"/>
    <w:rsid w:val="69530AA0"/>
    <w:rsid w:val="69851D54"/>
    <w:rsid w:val="69A219A8"/>
    <w:rsid w:val="6A094F90"/>
    <w:rsid w:val="6B0D2DB4"/>
    <w:rsid w:val="6BC1688F"/>
    <w:rsid w:val="7014565A"/>
    <w:rsid w:val="708A30AC"/>
    <w:rsid w:val="70980D7C"/>
    <w:rsid w:val="70EA4A99"/>
    <w:rsid w:val="713F2B0B"/>
    <w:rsid w:val="71C76BBC"/>
    <w:rsid w:val="71E878BB"/>
    <w:rsid w:val="721475D5"/>
    <w:rsid w:val="724F440B"/>
    <w:rsid w:val="72E76658"/>
    <w:rsid w:val="72EB3E29"/>
    <w:rsid w:val="7307371D"/>
    <w:rsid w:val="730F5D42"/>
    <w:rsid w:val="73701B47"/>
    <w:rsid w:val="73EB53A3"/>
    <w:rsid w:val="74247D3C"/>
    <w:rsid w:val="744329EF"/>
    <w:rsid w:val="74EC2A36"/>
    <w:rsid w:val="75D26B65"/>
    <w:rsid w:val="761F687C"/>
    <w:rsid w:val="76880159"/>
    <w:rsid w:val="779B1DA3"/>
    <w:rsid w:val="78CB4D4F"/>
    <w:rsid w:val="798C4AE7"/>
    <w:rsid w:val="7A4D0A2A"/>
    <w:rsid w:val="7BBF42CE"/>
    <w:rsid w:val="7BD23151"/>
    <w:rsid w:val="7C4C112D"/>
    <w:rsid w:val="7CD57A84"/>
    <w:rsid w:val="7D682341"/>
    <w:rsid w:val="7DD2264C"/>
    <w:rsid w:val="7DDD2456"/>
    <w:rsid w:val="7E9579DC"/>
    <w:rsid w:val="7EA31CA3"/>
    <w:rsid w:val="7EB871CF"/>
    <w:rsid w:val="7F172D35"/>
    <w:rsid w:val="7FAE3B73"/>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2018-04-19T00:55:05Z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