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1354"/>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20292"/>
      <w:bookmarkStart w:id="6" w:name="_Toc15308"/>
      <w:bookmarkStart w:id="7" w:name="_Toc27499"/>
      <w:bookmarkStart w:id="8" w:name="_Toc29727"/>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2018-06-07</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3.2.6 模糊匹配增加进场逻辑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w:t>
            </w:r>
            <w:bookmarkStart w:id="9" w:name="OLE_LINK1"/>
            <w:r>
              <w:rPr>
                <w:rFonts w:hint="eastAsia" w:ascii="黑体" w:hAnsi="黑体" w:eastAsia="黑体" w:cs="黑体"/>
                <w:b w:val="0"/>
                <w:bCs w:val="0"/>
                <w:color w:val="auto"/>
                <w:sz w:val="18"/>
                <w:szCs w:val="18"/>
                <w:vertAlign w:val="baseline"/>
                <w:lang w:val="en-US" w:eastAsia="zh-CN"/>
              </w:rPr>
              <w:t>3.2.11可配置是否允许同一账号登录不同主控板</w:t>
            </w:r>
            <w:bookmarkEnd w:id="9"/>
            <w:bookmarkStart w:id="167" w:name="_GoBack"/>
            <w:bookmarkEnd w:id="1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10" w:name="_Toc29388"/>
      <w:bookmarkStart w:id="11" w:name="_Toc3302"/>
      <w:r>
        <w:rPr>
          <w:rFonts w:hint="eastAsia" w:ascii="黑体" w:hAnsi="黑体" w:eastAsia="黑体" w:cs="黑体"/>
          <w:sz w:val="36"/>
          <w:szCs w:val="36"/>
          <w:lang w:val="en-US" w:eastAsia="zh-CN"/>
        </w:rPr>
        <w:t>目录</w:t>
      </w:r>
      <w:bookmarkEnd w:id="10"/>
      <w:bookmarkEnd w:id="11"/>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_Toc21354 </w:instrText>
      </w:r>
      <w:r>
        <w:fldChar w:fldCharType="separate"/>
      </w:r>
      <w:r>
        <w:rPr>
          <w:rFonts w:hint="eastAsia" w:ascii="黑体" w:hAnsi="黑体" w:eastAsia="黑体" w:cs="黑体"/>
          <w:lang w:val="en-US" w:eastAsia="zh-CN"/>
        </w:rPr>
        <w:t>停车场管理系统V2.17</w:t>
      </w:r>
      <w:r>
        <w:tab/>
      </w:r>
      <w:r>
        <w:fldChar w:fldCharType="begin"/>
      </w:r>
      <w:r>
        <w:instrText xml:space="preserve"> PAGEREF _Toc21354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_Toc27499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_Toc27499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_Toc3302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_Toc3302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_Toc20909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_Toc20909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_Toc5794 </w:instrText>
      </w:r>
      <w:r>
        <w:fldChar w:fldCharType="separate"/>
      </w:r>
      <w:r>
        <w:rPr>
          <w:rFonts w:hint="eastAsia" w:ascii="黑体" w:hAnsi="黑体" w:eastAsia="黑体" w:cs="黑体"/>
          <w:lang w:val="en-US" w:eastAsia="zh-CN"/>
        </w:rPr>
        <w:t>1.目的</w:t>
      </w:r>
      <w:r>
        <w:tab/>
      </w:r>
      <w:r>
        <w:fldChar w:fldCharType="begin"/>
      </w:r>
      <w:r>
        <w:instrText xml:space="preserve"> PAGEREF _Toc5794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_Toc8466 </w:instrText>
      </w:r>
      <w:r>
        <w:fldChar w:fldCharType="separate"/>
      </w:r>
      <w:r>
        <w:rPr>
          <w:rFonts w:hint="eastAsia" w:ascii="黑体" w:hAnsi="黑体" w:eastAsia="黑体" w:cs="黑体"/>
          <w:lang w:val="en-US" w:eastAsia="zh-CN"/>
        </w:rPr>
        <w:t>1.1背景</w:t>
      </w:r>
      <w:r>
        <w:tab/>
      </w:r>
      <w:r>
        <w:fldChar w:fldCharType="begin"/>
      </w:r>
      <w:r>
        <w:instrText xml:space="preserve"> PAGEREF _Toc8466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_Toc31814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_Toc31814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_Toc10194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_Toc10194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_Toc10156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_Toc10156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_Toc13008 </w:instrText>
      </w:r>
      <w:r>
        <w:fldChar w:fldCharType="separate"/>
      </w:r>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r>
        <w:tab/>
      </w:r>
      <w:r>
        <w:fldChar w:fldCharType="begin"/>
      </w:r>
      <w:r>
        <w:instrText xml:space="preserve"> PAGEREF _Toc13008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_Toc31417 </w:instrText>
      </w:r>
      <w:r>
        <w:fldChar w:fldCharType="separate"/>
      </w:r>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r>
        <w:tab/>
      </w:r>
      <w:r>
        <w:fldChar w:fldCharType="begin"/>
      </w:r>
      <w:r>
        <w:instrText xml:space="preserve"> PAGEREF _Toc31417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_Toc2735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_Toc2735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_Toc30892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_Toc30892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_Toc5706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_Toc5706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_Toc802 </w:instrText>
      </w:r>
      <w:r>
        <w:fldChar w:fldCharType="separate"/>
      </w:r>
      <w:r>
        <w:rPr>
          <w:rFonts w:hint="eastAsia" w:ascii="黑体" w:hAnsi="黑体" w:eastAsia="黑体" w:cs="黑体"/>
          <w:szCs w:val="30"/>
          <w:lang w:val="en-US" w:eastAsia="zh-CN"/>
        </w:rPr>
        <w:t>3.2.1停车费用分解支付，临停支持部分缴费</w:t>
      </w:r>
      <w:r>
        <w:tab/>
      </w:r>
      <w:r>
        <w:fldChar w:fldCharType="begin"/>
      </w:r>
      <w:r>
        <w:instrText xml:space="preserve"> PAGEREF _Toc802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_Toc13872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_Toc13872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_Toc4146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_Toc4146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_Toc18652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_Toc18652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_Toc10811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_Toc10811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_Toc1465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_Toc1465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_Toc3376 </w:instrText>
      </w:r>
      <w:r>
        <w:fldChar w:fldCharType="separate"/>
      </w:r>
      <w:r>
        <w:rPr>
          <w:rFonts w:hint="eastAsia" w:ascii="黑体" w:hAnsi="黑体" w:eastAsia="黑体" w:cs="黑体"/>
          <w:szCs w:val="30"/>
          <w:lang w:val="en-US" w:eastAsia="zh-CN"/>
        </w:rPr>
        <w:t>3.2.2支持多位多车的版本，获取月卡数据增加车位数信息</w:t>
      </w:r>
      <w:r>
        <w:tab/>
      </w:r>
      <w:r>
        <w:fldChar w:fldCharType="begin"/>
      </w:r>
      <w:r>
        <w:instrText xml:space="preserve"> PAGEREF _Toc3376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_Toc13783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_Toc13783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_Toc15964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_Toc15964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_Toc25426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_Toc25426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_Toc10000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_Toc10000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_Toc14698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_Toc14698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_Toc18768 </w:instrText>
      </w:r>
      <w:r>
        <w:fldChar w:fldCharType="separate"/>
      </w:r>
      <w:r>
        <w:rPr>
          <w:rFonts w:hint="eastAsia" w:ascii="黑体" w:hAnsi="黑体" w:eastAsia="黑体" w:cs="黑体"/>
          <w:szCs w:val="30"/>
          <w:lang w:val="en-US" w:eastAsia="zh-CN"/>
        </w:rPr>
        <w:t>3.2.3车辆锁车后收费员页面需要增加提示且不可放行</w:t>
      </w:r>
      <w:r>
        <w:tab/>
      </w:r>
      <w:r>
        <w:fldChar w:fldCharType="begin"/>
      </w:r>
      <w:r>
        <w:instrText xml:space="preserve"> PAGEREF _Toc18768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_Toc26035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_Toc26035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_Toc2424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_Toc23498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_Toc23498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_Toc29342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_Toc29342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_Toc28852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_Toc28852 </w:instrText>
      </w:r>
      <w:r>
        <w:fldChar w:fldCharType="separate"/>
      </w:r>
      <w:r>
        <w:t>15</w:t>
      </w:r>
      <w:r>
        <w:fldChar w:fldCharType="end"/>
      </w:r>
      <w:r>
        <w:fldChar w:fldCharType="end"/>
      </w:r>
    </w:p>
    <w:p>
      <w:pPr>
        <w:pStyle w:val="6"/>
        <w:tabs>
          <w:tab w:val="right" w:leader="dot" w:pos="9746"/>
        </w:tabs>
      </w:pPr>
      <w:r>
        <w:fldChar w:fldCharType="begin"/>
      </w:r>
      <w:r>
        <w:instrText xml:space="preserve"> HYPERLINK \l _Toc10992 </w:instrText>
      </w:r>
      <w:r>
        <w:fldChar w:fldCharType="separate"/>
      </w:r>
      <w:r>
        <w:rPr>
          <w:rFonts w:hint="eastAsia" w:ascii="黑体" w:hAnsi="黑体" w:eastAsia="黑体" w:cs="黑体"/>
          <w:szCs w:val="30"/>
          <w:lang w:val="en-US" w:eastAsia="zh-CN"/>
        </w:rPr>
        <w:t>3.2.4增加根据身份证号和姓名获取车主信息的对外接口</w:t>
      </w:r>
      <w:r>
        <w:tab/>
      </w:r>
      <w:r>
        <w:fldChar w:fldCharType="begin"/>
      </w:r>
      <w:r>
        <w:instrText xml:space="preserve"> PAGEREF _Toc10992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_Toc10807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_Toc10807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_Toc30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_Toc30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_Toc10787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_Toc10787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_Toc29720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_Toc29720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_Toc7322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_Toc7322 </w:instrText>
      </w:r>
      <w:r>
        <w:fldChar w:fldCharType="separate"/>
      </w:r>
      <w:r>
        <w:t>15</w:t>
      </w:r>
      <w:r>
        <w:fldChar w:fldCharType="end"/>
      </w:r>
      <w:r>
        <w:fldChar w:fldCharType="end"/>
      </w:r>
    </w:p>
    <w:p>
      <w:pPr>
        <w:pStyle w:val="6"/>
        <w:tabs>
          <w:tab w:val="right" w:leader="dot" w:pos="9746"/>
        </w:tabs>
      </w:pPr>
      <w:r>
        <w:fldChar w:fldCharType="begin"/>
      </w:r>
      <w:r>
        <w:instrText xml:space="preserve"> HYPERLINK \l _Toc13474 </w:instrText>
      </w:r>
      <w:r>
        <w:fldChar w:fldCharType="separate"/>
      </w:r>
      <w:r>
        <w:rPr>
          <w:rFonts w:hint="eastAsia" w:ascii="黑体" w:hAnsi="黑体" w:eastAsia="黑体" w:cs="黑体"/>
          <w:szCs w:val="30"/>
          <w:lang w:val="en-US" w:eastAsia="zh-CN"/>
        </w:rPr>
        <w:t>3.2.5一体机日志机制的优化</w:t>
      </w:r>
      <w:r>
        <w:tab/>
      </w:r>
      <w:r>
        <w:fldChar w:fldCharType="begin"/>
      </w:r>
      <w:r>
        <w:instrText xml:space="preserve"> PAGEREF _Toc13474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_Toc2517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_Toc31877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_Toc31877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_Toc12042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_Toc12042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_Toc4977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_Toc4977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_Toc2507 </w:instrText>
      </w:r>
      <w:r>
        <w:fldChar w:fldCharType="separate"/>
      </w:r>
      <w:r>
        <w:rPr>
          <w:rFonts w:hint="eastAsia" w:ascii="黑体" w:hAnsi="黑体" w:eastAsia="黑体" w:cs="黑体"/>
          <w:szCs w:val="30"/>
          <w:lang w:val="en-US" w:eastAsia="zh-CN"/>
        </w:rPr>
        <w:t>3.2.6车牌的模糊匹配功能</w:t>
      </w:r>
      <w:r>
        <w:tab/>
      </w:r>
      <w:r>
        <w:fldChar w:fldCharType="begin"/>
      </w:r>
      <w:r>
        <w:instrText xml:space="preserve"> PAGEREF _Toc2507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_Toc13460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_Toc13460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_Toc30711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_Toc30711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_Toc23176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_Toc23176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_Toc1243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_Toc1243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_Toc18236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_Toc18236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_Toc21946 </w:instrText>
      </w:r>
      <w:r>
        <w:fldChar w:fldCharType="separate"/>
      </w:r>
      <w:r>
        <w:rPr>
          <w:rFonts w:hint="eastAsia" w:ascii="黑体" w:hAnsi="黑体" w:eastAsia="黑体" w:cs="黑体"/>
          <w:szCs w:val="30"/>
          <w:lang w:val="en-US" w:eastAsia="zh-CN"/>
        </w:rPr>
        <w:t>3.2.7盘点离场记录增加标记对应操作人员</w:t>
      </w:r>
      <w:r>
        <w:tab/>
      </w:r>
      <w:r>
        <w:fldChar w:fldCharType="begin"/>
      </w:r>
      <w:r>
        <w:instrText xml:space="preserve"> PAGEREF _Toc21946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_Toc7247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_Toc7247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_Toc22928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_Toc22928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_Toc31039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_Toc13456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_Toc13456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_Toc4464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_Toc4464 </w:instrText>
      </w:r>
      <w:r>
        <w:fldChar w:fldCharType="separate"/>
      </w:r>
      <w:r>
        <w:t>21</w:t>
      </w:r>
      <w:r>
        <w:fldChar w:fldCharType="end"/>
      </w:r>
      <w:r>
        <w:fldChar w:fldCharType="end"/>
      </w:r>
    </w:p>
    <w:p>
      <w:pPr>
        <w:pStyle w:val="6"/>
        <w:tabs>
          <w:tab w:val="right" w:leader="dot" w:pos="9746"/>
        </w:tabs>
      </w:pPr>
      <w:r>
        <w:fldChar w:fldCharType="begin"/>
      </w:r>
      <w:r>
        <w:instrText xml:space="preserve"> HYPERLINK \l _Toc29828 </w:instrText>
      </w:r>
      <w:r>
        <w:fldChar w:fldCharType="separate"/>
      </w:r>
      <w:r>
        <w:rPr>
          <w:rFonts w:hint="eastAsia" w:ascii="黑体" w:hAnsi="黑体" w:eastAsia="黑体" w:cs="黑体"/>
          <w:szCs w:val="30"/>
          <w:lang w:val="en-US" w:eastAsia="zh-CN"/>
        </w:rPr>
        <w:t>3.2.8系统自动判断一体机与管理系统版本是否一致功能</w:t>
      </w:r>
      <w:r>
        <w:tab/>
      </w:r>
      <w:r>
        <w:fldChar w:fldCharType="begin"/>
      </w:r>
      <w:r>
        <w:instrText xml:space="preserve"> PAGEREF _Toc29828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_Toc11163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_Toc11163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_Toc15632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_Toc15632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_Toc7542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_Toc7542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_Toc21288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_Toc21288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_Toc11729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_Toc11729 </w:instrText>
      </w:r>
      <w:r>
        <w:fldChar w:fldCharType="separate"/>
      </w:r>
      <w:r>
        <w:t>21</w:t>
      </w:r>
      <w:r>
        <w:fldChar w:fldCharType="end"/>
      </w:r>
      <w:r>
        <w:fldChar w:fldCharType="end"/>
      </w:r>
    </w:p>
    <w:p>
      <w:pPr>
        <w:pStyle w:val="6"/>
        <w:tabs>
          <w:tab w:val="right" w:leader="dot" w:pos="9746"/>
        </w:tabs>
      </w:pPr>
      <w:r>
        <w:fldChar w:fldCharType="begin"/>
      </w:r>
      <w:r>
        <w:instrText xml:space="preserve"> HYPERLINK \l _Toc26950 </w:instrText>
      </w:r>
      <w:r>
        <w:fldChar w:fldCharType="separate"/>
      </w:r>
      <w:r>
        <w:rPr>
          <w:rFonts w:hint="eastAsia" w:ascii="黑体" w:hAnsi="黑体" w:eastAsia="黑体" w:cs="黑体"/>
          <w:szCs w:val="30"/>
          <w:lang w:val="en-US" w:eastAsia="zh-CN"/>
        </w:rPr>
        <w:t>3.2.9扫码自助进出问题解决</w:t>
      </w:r>
      <w:r>
        <w:tab/>
      </w:r>
      <w:r>
        <w:fldChar w:fldCharType="begin"/>
      </w:r>
      <w:r>
        <w:instrText xml:space="preserve"> PAGEREF _Toc26950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_Toc22664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_Toc22664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_Toc23060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_Toc23060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_Toc2794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_Toc2794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_Toc11691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_Toc11691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_Toc25744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_Toc25744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_Toc26011 </w:instrText>
      </w:r>
      <w:r>
        <w:fldChar w:fldCharType="separate"/>
      </w:r>
      <w:r>
        <w:rPr>
          <w:rFonts w:hint="eastAsia" w:ascii="黑体" w:hAnsi="黑体" w:eastAsia="黑体" w:cs="黑体"/>
          <w:szCs w:val="30"/>
          <w:lang w:val="en-US" w:eastAsia="zh-CN"/>
        </w:rPr>
        <w:t>3.2.10实现基本的引导配置功能</w:t>
      </w:r>
      <w:r>
        <w:tab/>
      </w:r>
      <w:r>
        <w:fldChar w:fldCharType="begin"/>
      </w:r>
      <w:r>
        <w:instrText xml:space="preserve"> PAGEREF _Toc26011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_Toc10168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_Toc10168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_Toc11859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_Toc11859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_Toc7580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_Toc7580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_Toc18595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_Toc18595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_Toc5726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_Toc5726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_Toc21609 </w:instrText>
      </w:r>
      <w:r>
        <w:fldChar w:fldCharType="separate"/>
      </w:r>
      <w:r>
        <w:rPr>
          <w:rFonts w:hint="eastAsia" w:ascii="黑体" w:hAnsi="黑体" w:eastAsia="黑体" w:cs="黑体"/>
          <w:szCs w:val="30"/>
          <w:lang w:val="en-US" w:eastAsia="zh-CN"/>
        </w:rPr>
        <w:t>3.2.11可配置是否允许同一账号登录不同主控板</w:t>
      </w:r>
      <w:r>
        <w:tab/>
      </w:r>
      <w:r>
        <w:fldChar w:fldCharType="begin"/>
      </w:r>
      <w:r>
        <w:instrText xml:space="preserve"> PAGEREF _Toc21609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_Toc10628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_Toc10628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_Toc11699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_Toc11699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_Toc17171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_Toc17171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_Toc22489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_Toc22489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_Toc10957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_Toc10957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_Toc3662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_Toc3662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_Toc24098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_Toc24098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_Toc4428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_Toc4428 </w:instrText>
      </w:r>
      <w:r>
        <w:fldChar w:fldCharType="separate"/>
      </w:r>
      <w:r>
        <w:t>33</w:t>
      </w:r>
      <w:r>
        <w:fldChar w:fldCharType="end"/>
      </w:r>
      <w:r>
        <w:fldChar w:fldCharType="end"/>
      </w:r>
    </w:p>
    <w:p>
      <w:pPr>
        <w:pStyle w:val="8"/>
        <w:tabs>
          <w:tab w:val="right" w:leader="dot" w:pos="9746"/>
        </w:tabs>
      </w:pPr>
      <w:r>
        <w:fldChar w:fldCharType="begin"/>
      </w:r>
      <w:r>
        <w:instrText xml:space="preserve"> HYPERLINK \l _Toc6861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_Toc6861 </w:instrText>
      </w:r>
      <w:r>
        <w:fldChar w:fldCharType="separate"/>
      </w:r>
      <w:r>
        <w:t>33</w:t>
      </w:r>
      <w:r>
        <w:fldChar w:fldCharType="end"/>
      </w:r>
      <w:r>
        <w:fldChar w:fldCharType="end"/>
      </w:r>
    </w:p>
    <w:p>
      <w:pPr>
        <w:pStyle w:val="10"/>
        <w:tabs>
          <w:tab w:val="right" w:leader="dot" w:pos="9746"/>
        </w:tabs>
      </w:pPr>
      <w:r>
        <w:fldChar w:fldCharType="begin"/>
      </w:r>
      <w:r>
        <w:instrText xml:space="preserve"> HYPERLINK \l _Toc13440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_Toc13440 </w:instrText>
      </w:r>
      <w:r>
        <w:fldChar w:fldCharType="separate"/>
      </w:r>
      <w:r>
        <w:t>33</w:t>
      </w:r>
      <w:r>
        <w:fldChar w:fldCharType="end"/>
      </w:r>
      <w:r>
        <w:fldChar w:fldCharType="end"/>
      </w:r>
    </w:p>
    <w:p>
      <w:pPr>
        <w:pStyle w:val="10"/>
        <w:tabs>
          <w:tab w:val="right" w:leader="dot" w:pos="9746"/>
        </w:tabs>
      </w:pPr>
      <w:r>
        <w:fldChar w:fldCharType="begin"/>
      </w:r>
      <w:r>
        <w:instrText xml:space="preserve"> HYPERLINK \l _Toc10037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_Toc10037 </w:instrText>
      </w:r>
      <w:r>
        <w:fldChar w:fldCharType="separate"/>
      </w:r>
      <w:r>
        <w:t>33</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2" w:name="_Toc17589"/>
      <w:bookmarkStart w:id="13" w:name="_Toc20909"/>
      <w:bookmarkStart w:id="14" w:name="_Toc28513"/>
      <w:bookmarkStart w:id="15" w:name="_Toc26893"/>
      <w:bookmarkStart w:id="16" w:name="_Toc23227"/>
      <w:r>
        <w:rPr>
          <w:rFonts w:hint="eastAsia" w:ascii="黑体" w:hAnsi="黑体" w:eastAsia="黑体" w:cs="黑体"/>
          <w:b/>
          <w:bCs/>
          <w:color w:val="auto"/>
          <w:sz w:val="36"/>
          <w:szCs w:val="36"/>
          <w:lang w:val="en-US" w:eastAsia="zh-CN"/>
        </w:rPr>
        <w:t>全局说明</w:t>
      </w:r>
      <w:bookmarkEnd w:id="12"/>
      <w:bookmarkEnd w:id="13"/>
      <w:bookmarkEnd w:id="14"/>
      <w:bookmarkEnd w:id="15"/>
      <w:bookmarkEnd w:id="16"/>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15886"/>
      <w:bookmarkStart w:id="20" w:name="_Toc31429"/>
      <w:bookmarkStart w:id="21" w:name="_Toc2143"/>
      <w:bookmarkStart w:id="22" w:name="_Toc5794"/>
      <w:r>
        <w:rPr>
          <w:rFonts w:hint="eastAsia" w:ascii="黑体" w:hAnsi="黑体" w:eastAsia="黑体" w:cs="黑体"/>
          <w:lang w:val="en-US" w:eastAsia="zh-CN"/>
        </w:rPr>
        <w:t>1.目的</w:t>
      </w:r>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15109"/>
      <w:bookmarkStart w:id="25" w:name="_Toc25502"/>
      <w:bookmarkStart w:id="26" w:name="_Toc8466"/>
      <w:r>
        <w:rPr>
          <w:rFonts w:hint="eastAsia" w:ascii="黑体" w:hAnsi="黑体" w:eastAsia="黑体" w:cs="黑体"/>
          <w:lang w:val="en-US" w:eastAsia="zh-CN"/>
        </w:rPr>
        <w:t>1.1背景</w:t>
      </w:r>
      <w:bookmarkEnd w:id="23"/>
      <w:bookmarkEnd w:id="24"/>
      <w:bookmarkEnd w:id="25"/>
      <w:bookmarkEnd w:id="26"/>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31814"/>
      <w:bookmarkStart w:id="28" w:name="_Toc29668"/>
      <w:bookmarkStart w:id="29" w:name="_Toc10609"/>
      <w:bookmarkStart w:id="30" w:name="_Toc20322"/>
      <w:r>
        <w:rPr>
          <w:rFonts w:hint="eastAsia" w:ascii="黑体" w:hAnsi="黑体" w:eastAsia="黑体" w:cs="黑体"/>
          <w:szCs w:val="22"/>
          <w:lang w:val="en-US" w:eastAsia="zh-CN"/>
        </w:rPr>
        <w:t>1.2目的</w:t>
      </w:r>
      <w:bookmarkEnd w:id="27"/>
      <w:bookmarkEnd w:id="28"/>
      <w:bookmarkEnd w:id="29"/>
      <w:bookmarkEnd w:id="30"/>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24270"/>
      <w:bookmarkStart w:id="32" w:name="_Toc10744"/>
      <w:bookmarkStart w:id="33" w:name="_Toc10194"/>
      <w:bookmarkStart w:id="34" w:name="_Toc18131"/>
      <w:r>
        <w:rPr>
          <w:rFonts w:hint="eastAsia" w:ascii="黑体" w:hAnsi="黑体" w:eastAsia="黑体" w:cs="黑体"/>
          <w:szCs w:val="22"/>
          <w:lang w:val="en-US" w:eastAsia="zh-CN"/>
        </w:rPr>
        <w:t>1.3需求描述与约定</w:t>
      </w:r>
      <w:bookmarkEnd w:id="31"/>
      <w:bookmarkEnd w:id="32"/>
      <w:bookmarkEnd w:id="33"/>
      <w:bookmarkEnd w:id="34"/>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5" w:name="_Toc10993"/>
      <w:bookmarkStart w:id="36" w:name="_Toc5709"/>
      <w:bookmarkStart w:id="37" w:name="_Toc10156"/>
      <w:r>
        <w:rPr>
          <w:rFonts w:hint="eastAsia" w:ascii="黑体" w:hAnsi="黑体" w:eastAsia="黑体" w:cs="黑体"/>
          <w:szCs w:val="22"/>
          <w:lang w:val="en-US" w:eastAsia="zh-CN"/>
        </w:rPr>
        <w:t>关键业务流程</w:t>
      </w:r>
      <w:bookmarkEnd w:id="35"/>
      <w:bookmarkEnd w:id="36"/>
      <w:bookmarkEnd w:id="3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8" w:name="_Toc13008"/>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bookmarkEnd w:id="38"/>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1725" cy="3060700"/>
            <wp:effectExtent l="0" t="0" r="3175" b="0"/>
            <wp:docPr id="4" name="图片 4"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9" w:name="_Toc31417"/>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bookmarkEnd w:id="39"/>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7440" cy="3272155"/>
            <wp:effectExtent l="0" t="0" r="10160" b="4445"/>
            <wp:docPr id="2" name="图片 2"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车牌模糊匹配功能 副本"/>
                    <pic:cNvPicPr>
                      <a:picLocks noChangeAspect="1"/>
                    </pic:cNvPicPr>
                  </pic:nvPicPr>
                  <pic:blipFill>
                    <a:blip r:embed="rId6"/>
                    <a:stretch>
                      <a:fillRect/>
                    </a:stretch>
                  </pic:blipFill>
                  <pic:spPr>
                    <a:xfrm>
                      <a:off x="0" y="0"/>
                      <a:ext cx="6187440" cy="3272155"/>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16460"/>
      <w:bookmarkStart w:id="41" w:name="_Toc27684"/>
      <w:bookmarkStart w:id="42" w:name="_Toc2735"/>
      <w:bookmarkStart w:id="43" w:name="_Toc13346"/>
      <w:r>
        <w:rPr>
          <w:rFonts w:hint="eastAsia" w:ascii="黑体" w:hAnsi="黑体" w:eastAsia="黑体" w:cs="黑体"/>
          <w:szCs w:val="22"/>
          <w:lang w:val="en-US" w:eastAsia="zh-CN"/>
        </w:rPr>
        <w:t>3.具体需求内容</w:t>
      </w:r>
      <w:bookmarkEnd w:id="40"/>
      <w:bookmarkEnd w:id="41"/>
      <w:bookmarkEnd w:id="42"/>
      <w:bookmarkEnd w:id="4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4" w:name="_Toc12815"/>
      <w:bookmarkStart w:id="45" w:name="_Toc30892"/>
      <w:bookmarkStart w:id="46" w:name="_Toc2749"/>
      <w:bookmarkStart w:id="47" w:name="_Toc26890"/>
      <w:r>
        <w:rPr>
          <w:rFonts w:hint="eastAsia" w:ascii="黑体" w:hAnsi="黑体" w:eastAsia="黑体" w:cs="黑体"/>
          <w:szCs w:val="22"/>
          <w:lang w:val="en-US" w:eastAsia="zh-CN"/>
        </w:rPr>
        <w:t>3.1总体功能点</w:t>
      </w:r>
      <w:bookmarkEnd w:id="44"/>
      <w:bookmarkEnd w:id="45"/>
      <w:bookmarkEnd w:id="46"/>
      <w:bookmarkEnd w:id="47"/>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289550"/>
            <wp:effectExtent l="0" t="0" r="6350" b="6350"/>
            <wp:docPr id="10" name="图片 10"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EMS V2.17 版本规划"/>
                    <pic:cNvPicPr>
                      <a:picLocks noChangeAspect="1"/>
                    </pic:cNvPicPr>
                  </pic:nvPicPr>
                  <pic:blipFill>
                    <a:blip r:embed="rId7"/>
                    <a:stretch>
                      <a:fillRect/>
                    </a:stretch>
                  </pic:blipFill>
                  <pic:spPr>
                    <a:xfrm>
                      <a:off x="0" y="0"/>
                      <a:ext cx="6153150" cy="52895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28457"/>
      <w:bookmarkStart w:id="49" w:name="_Toc5706"/>
      <w:bookmarkStart w:id="50" w:name="_Toc3212"/>
      <w:r>
        <w:rPr>
          <w:rFonts w:hint="eastAsia" w:ascii="黑体" w:hAnsi="黑体" w:eastAsia="黑体" w:cs="黑体"/>
          <w:szCs w:val="22"/>
          <w:lang w:val="en-US" w:eastAsia="zh-CN"/>
        </w:rPr>
        <w:t>3.2功能点描述</w:t>
      </w:r>
      <w:bookmarkEnd w:id="48"/>
      <w:bookmarkEnd w:id="49"/>
      <w:bookmarkEnd w:id="50"/>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51" w:name="_Toc28219"/>
      <w:bookmarkStart w:id="52" w:name="_Toc516"/>
      <w:bookmarkStart w:id="53" w:name="_Toc802"/>
      <w:r>
        <w:rPr>
          <w:rFonts w:hint="eastAsia" w:ascii="黑体" w:hAnsi="黑体" w:eastAsia="黑体" w:cs="黑体"/>
          <w:sz w:val="30"/>
          <w:szCs w:val="30"/>
          <w:lang w:val="en-US" w:eastAsia="zh-CN"/>
        </w:rPr>
        <w:t>3.2.1</w:t>
      </w:r>
      <w:bookmarkEnd w:id="51"/>
      <w:bookmarkEnd w:id="52"/>
      <w:r>
        <w:rPr>
          <w:rFonts w:hint="eastAsia" w:ascii="黑体" w:hAnsi="黑体" w:eastAsia="黑体" w:cs="黑体"/>
          <w:sz w:val="30"/>
          <w:szCs w:val="30"/>
          <w:lang w:val="en-US" w:eastAsia="zh-CN"/>
        </w:rPr>
        <w:t>停车费用分解支付，临停支持部分缴费</w:t>
      </w:r>
      <w:bookmarkEnd w:id="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4" w:name="_Toc1533"/>
      <w:bookmarkStart w:id="55" w:name="_Toc1387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6" w:name="_Toc18884"/>
      <w:bookmarkStart w:id="57" w:name="_Toc414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6"/>
      <w:bookmarkEnd w:id="5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9"/>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7752"/>
      <w:bookmarkStart w:id="59" w:name="_Toc186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9670"/>
      <w:bookmarkStart w:id="61" w:name="_Toc108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0"/>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465"/>
      <w:bookmarkStart w:id="63" w:name="_Toc68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4" w:name="_Toc3376"/>
      <w:r>
        <w:rPr>
          <w:rFonts w:hint="eastAsia" w:ascii="黑体" w:hAnsi="黑体" w:eastAsia="黑体" w:cs="黑体"/>
          <w:sz w:val="30"/>
          <w:szCs w:val="30"/>
          <w:lang w:val="en-US" w:eastAsia="zh-CN"/>
        </w:rPr>
        <w:t>3.2.2支持多位多车的版本，获取月卡数据增加车位数信息</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378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66" w:name="_Toc159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10"/>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542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00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469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18768"/>
      <w:r>
        <w:rPr>
          <w:rFonts w:hint="eastAsia" w:ascii="黑体" w:hAnsi="黑体" w:eastAsia="黑体" w:cs="黑体"/>
          <w:sz w:val="30"/>
          <w:szCs w:val="30"/>
          <w:lang w:val="en-US" w:eastAsia="zh-CN"/>
        </w:rPr>
        <w:t>3.2.3车辆锁车后收费员页面需要增加提示且不可放行</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603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（1）车辆处于锁定状态下出场，不可开闸放行，岗亭端需要进行车辆锁定状态提示（车辆已锁定，需车主解锁！）。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2" w:name="_Toc242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907665"/>
            <wp:effectExtent l="0" t="0" r="1270" b="635"/>
            <wp:docPr id="21" name="图片 21"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车辆锁车后收费员页面需要增加提示且不可放行"/>
                    <pic:cNvPicPr>
                      <a:picLocks noChangeAspect="1"/>
                    </pic:cNvPicPr>
                  </pic:nvPicPr>
                  <pic:blipFill>
                    <a:blip r:embed="rId11"/>
                    <a:stretch>
                      <a:fillRect/>
                    </a:stretch>
                  </pic:blipFill>
                  <pic:spPr>
                    <a:xfrm>
                      <a:off x="0" y="0"/>
                      <a:ext cx="6183630" cy="29076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349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934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885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10992"/>
      <w:r>
        <w:rPr>
          <w:rFonts w:hint="eastAsia" w:ascii="黑体" w:hAnsi="黑体" w:eastAsia="黑体" w:cs="黑体"/>
          <w:sz w:val="30"/>
          <w:szCs w:val="30"/>
          <w:lang w:val="en-US" w:eastAsia="zh-CN"/>
        </w:rPr>
        <w:t>3.2.4增加根据身份证号和姓名获取车主信息的对外接口</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080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8" w:name="_Toc3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78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2972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732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13474"/>
      <w:r>
        <w:rPr>
          <w:rFonts w:hint="eastAsia" w:ascii="黑体" w:hAnsi="黑体" w:eastAsia="黑体" w:cs="黑体"/>
          <w:sz w:val="30"/>
          <w:szCs w:val="30"/>
          <w:lang w:val="en-US" w:eastAsia="zh-CN"/>
        </w:rPr>
        <w:t>3.2.5一体机日志机制的优化</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5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84" w:name="_Toc3187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204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497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439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2507"/>
      <w:r>
        <w:rPr>
          <w:rFonts w:hint="eastAsia" w:ascii="黑体" w:hAnsi="黑体" w:eastAsia="黑体" w:cs="黑体"/>
          <w:sz w:val="30"/>
          <w:szCs w:val="30"/>
          <w:lang w:val="en-US" w:eastAsia="zh-CN"/>
        </w:rPr>
        <w:t>3.2.6车牌的模糊匹配功能</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346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w:t>
      </w:r>
      <w:r>
        <w:rPr>
          <w:rFonts w:hint="eastAsia" w:ascii="黑体" w:hAnsi="黑体" w:eastAsia="黑体" w:cs="黑体"/>
          <w:b w:val="0"/>
          <w:bCs w:val="0"/>
          <w:color w:val="FF0000"/>
          <w:sz w:val="21"/>
          <w:szCs w:val="21"/>
          <w:lang w:val="en-US" w:eastAsia="zh-CN"/>
        </w:rPr>
        <w:t>进场模糊匹配功能流程说明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进场识别为临时车时，一体机将向VEMS请求查询与进场识别车牌相差一位的VIP车牌，如果刚好匹配到一辆相差一位的VIP车牌，则将该进场车辆自动校正为该VIP车牌，如果匹配到超过两辆及两辆以上的车辆，则系统不进行干干预处理，维持原来的临时车进场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w:t>
      </w:r>
      <w:r>
        <w:rPr>
          <w:rFonts w:hint="eastAsia" w:ascii="黑体" w:hAnsi="黑体" w:eastAsia="黑体" w:cs="黑体"/>
          <w:b w:val="0"/>
          <w:bCs w:val="0"/>
          <w:color w:val="FF0000"/>
          <w:sz w:val="21"/>
          <w:szCs w:val="21"/>
          <w:lang w:val="en-US" w:eastAsia="zh-CN"/>
        </w:rPr>
        <w:t>出场模糊匹配功能流程说明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身份相同时取置信度高的记录，身份不同时取VIP记录。如果匹配到超过两辆及两辆以上的车辆，则系统不进行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90" w:name="_Toc3071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1、在停车场管理-车场配置模块中，</w:t>
      </w:r>
      <w:r>
        <w:rPr>
          <w:rFonts w:hint="eastAsia" w:ascii="黑体" w:hAnsi="黑体" w:eastAsia="黑体" w:cs="黑体"/>
          <w:b w:val="0"/>
          <w:bCs w:val="0"/>
          <w:color w:val="FF0000"/>
          <w:sz w:val="21"/>
          <w:szCs w:val="21"/>
          <w:lang w:val="en-US" w:eastAsia="zh-CN"/>
        </w:rPr>
        <w:t>取消原来的“是否开启模糊车牌匹配”配置项，增加“进场模糊匹配”和“出场模糊匹配”两个配置项</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2、进场模糊匹配下拉框选项内容包括“开启模糊匹配和关闭模糊匹配”两项，</w:t>
      </w:r>
      <w:r>
        <w:rPr>
          <w:rFonts w:hint="eastAsia" w:ascii="黑体" w:hAnsi="黑体" w:eastAsia="黑体" w:cs="黑体"/>
          <w:b w:val="0"/>
          <w:bCs w:val="0"/>
          <w:color w:val="FF0000"/>
          <w:sz w:val="21"/>
          <w:szCs w:val="21"/>
          <w:lang w:val="en-US" w:eastAsia="zh-CN"/>
        </w:rPr>
        <w:t>默认“关闭模糊匹配”</w:t>
      </w:r>
      <w:r>
        <w:rPr>
          <w:rFonts w:hint="eastAsia" w:ascii="黑体" w:hAnsi="黑体" w:eastAsia="黑体" w:cs="黑体"/>
          <w:b w:val="0"/>
          <w:bCs w:val="0"/>
          <w:sz w:val="21"/>
          <w:szCs w:val="21"/>
          <w:lang w:val="en-US" w:eastAsia="zh-CN"/>
        </w:rPr>
        <w:t>，出场模糊匹配下拉框选项内容包括“系统自动匹配自动放行、系统自动匹配人工干预、关闭模糊匹配”三个选项，</w:t>
      </w:r>
      <w:r>
        <w:rPr>
          <w:rFonts w:hint="eastAsia" w:ascii="黑体" w:hAnsi="黑体" w:eastAsia="黑体" w:cs="黑体"/>
          <w:b w:val="0"/>
          <w:bCs w:val="0"/>
          <w:color w:val="FF0000"/>
          <w:sz w:val="21"/>
          <w:szCs w:val="21"/>
          <w:lang w:val="en-US" w:eastAsia="zh-CN"/>
        </w:rPr>
        <w:t>默认“系统自动匹配自动放行”</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3、在“进场模糊匹配”增加“？”按钮，点击？弹出弹窗，弹窗内容为：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进场模糊匹配：车辆进场识别为临时车时将会判断进场车牌是否为已添加的模糊匹配车牌，若是则执行模糊车牌匹配流程，若否将向管理端查询与进场车牌相差一位的VIP车牌。如果能且只能找到一条符合条件的VIP车牌记录时，将取信该VIP车牌；否则将按原来的临时车进场流程处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4、在“出场模糊匹配”增加“？”按钮，点击？弹出弹窗，弹窗内容为：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出场模糊匹配：车辆出场未匹配进场记录时，一体机将判断出场车牌是否为已添加的模糊匹配车牌，若是则执行模糊车牌匹配流程，若否将向管理端查询与出场车牌相差一位的进场记录。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系统自动匹配自动放行：能且只能找到一条符合条件的进场记录时，将按身份和置信度高低自动匹配自动放行（身份一致时，取置信度高的记录，身份不一致时，取VIP记录）；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系统自动匹配人工干预：能且只能找到一条符合条件的进场记录后，若匹配车牌身份一致则自动匹配自动放行；若匹配车牌身份不一致则维持未匹配记录。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5375" cy="1906270"/>
            <wp:effectExtent l="0" t="0" r="9525" b="11430"/>
            <wp:docPr id="7" name="图片 7" descr="车牌的模糊匹配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车牌的模糊匹配功能"/>
                    <pic:cNvPicPr>
                      <a:picLocks noChangeAspect="1"/>
                    </pic:cNvPicPr>
                  </pic:nvPicPr>
                  <pic:blipFill>
                    <a:blip r:embed="rId12"/>
                    <a:stretch>
                      <a:fillRect/>
                    </a:stretch>
                  </pic:blipFill>
                  <pic:spPr>
                    <a:xfrm>
                      <a:off x="0" y="0"/>
                      <a:ext cx="6175375" cy="190627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5、一体机执行自动匹配操作后需向管理端上报一条校正流水，</w:t>
      </w:r>
      <w:r>
        <w:rPr>
          <w:rFonts w:hint="eastAsia" w:ascii="黑体" w:hAnsi="黑体" w:eastAsia="黑体" w:cs="黑体"/>
          <w:b w:val="0"/>
          <w:bCs w:val="0"/>
          <w:color w:val="FF0000"/>
          <w:sz w:val="21"/>
          <w:szCs w:val="21"/>
          <w:lang w:val="en-US" w:eastAsia="zh-CN"/>
        </w:rPr>
        <w:t>校正类型为“模糊匹配”</w:t>
      </w:r>
      <w:r>
        <w:rPr>
          <w:rFonts w:hint="eastAsia" w:ascii="黑体" w:hAnsi="黑体" w:eastAsia="黑体" w:cs="黑体"/>
          <w:b w:val="0"/>
          <w:bCs w:val="0"/>
          <w:sz w:val="21"/>
          <w:szCs w:val="21"/>
          <w:lang w:val="en-US" w:eastAsia="zh-CN"/>
        </w:rPr>
        <w:t>，在进出场管理-校正流水模块中，将原来的校正类型下拉框选项加上“模糊匹配”类型，操作员记为“system”。</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3"/>
                    <a:stretch>
                      <a:fillRect/>
                    </a:stretch>
                  </pic:blipFill>
                  <pic:spPr>
                    <a:xfrm>
                      <a:off x="0" y="0"/>
                      <a:ext cx="6179185" cy="288671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31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1"/>
    </w:p>
    <w:p>
      <w:pPr>
        <w:rPr>
          <w:rFonts w:hint="eastAsia"/>
          <w:lang w:val="en-US" w:eastAsia="zh-CN"/>
        </w:rPr>
      </w:pPr>
      <w:r>
        <w:rPr>
          <w:rFonts w:hint="eastAsia" w:ascii="黑体" w:hAnsi="黑体" w:eastAsia="黑体" w:cs="黑体"/>
          <w:b w:val="0"/>
          <w:bCs w:val="0"/>
          <w:sz w:val="21"/>
          <w:szCs w:val="21"/>
          <w:lang w:val="en-US" w:eastAsia="zh-CN"/>
        </w:rPr>
        <w:t>1、进场模糊匹配流程</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060700"/>
            <wp:effectExtent l="0" t="0" r="3175" b="0"/>
            <wp:docPr id="8" name="图片 8"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lang w:val="en-US" w:eastAsia="zh-CN"/>
        </w:rPr>
      </w:pPr>
      <w:r>
        <w:rPr>
          <w:rFonts w:hint="eastAsia" w:ascii="黑体" w:hAnsi="黑体" w:eastAsia="黑体" w:cs="黑体"/>
          <w:b w:val="0"/>
          <w:bCs w:val="0"/>
          <w:sz w:val="21"/>
          <w:szCs w:val="21"/>
          <w:lang w:val="en-US" w:eastAsia="zh-CN"/>
        </w:rPr>
        <w:t>2、出场模糊匹配流程</w:t>
      </w:r>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7440" cy="3272155"/>
            <wp:effectExtent l="0" t="0" r="10160" b="4445"/>
            <wp:docPr id="22" name="图片 22"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车牌模糊匹配功能 副本"/>
                    <pic:cNvPicPr>
                      <a:picLocks noChangeAspect="1"/>
                    </pic:cNvPicPr>
                  </pic:nvPicPr>
                  <pic:blipFill>
                    <a:blip r:embed="rId6"/>
                    <a:stretch>
                      <a:fillRect/>
                    </a:stretch>
                  </pic:blipFill>
                  <pic:spPr>
                    <a:xfrm>
                      <a:off x="0" y="0"/>
                      <a:ext cx="6187440" cy="3272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124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82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1946"/>
      <w:r>
        <w:rPr>
          <w:rFonts w:hint="eastAsia" w:ascii="黑体" w:hAnsi="黑体" w:eastAsia="黑体" w:cs="黑体"/>
          <w:sz w:val="30"/>
          <w:szCs w:val="30"/>
          <w:lang w:val="en-US" w:eastAsia="zh-CN"/>
        </w:rPr>
        <w:t>3.2.7盘点离场记录增加标记对应操作人员</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7247"/>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292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6"/>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4"/>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103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345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446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29828"/>
      <w:r>
        <w:rPr>
          <w:rFonts w:hint="eastAsia" w:ascii="黑体" w:hAnsi="黑体" w:eastAsia="黑体" w:cs="黑体"/>
          <w:sz w:val="30"/>
          <w:szCs w:val="30"/>
          <w:lang w:val="en-US" w:eastAsia="zh-CN"/>
        </w:rPr>
        <w:t>3.2.8系统自动判断一体机与管理系统版本是否一致功能</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116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提供系统自动判断一体机与管理端系统版本是否一致的接口，由运维调用并提示。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563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754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12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1172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6950"/>
      <w:r>
        <w:rPr>
          <w:rFonts w:hint="eastAsia" w:ascii="黑体" w:hAnsi="黑体" w:eastAsia="黑体" w:cs="黑体"/>
          <w:sz w:val="30"/>
          <w:szCs w:val="30"/>
          <w:lang w:val="en-US" w:eastAsia="zh-CN"/>
        </w:rPr>
        <w:t>3.2.9扫码自助进出问题解决</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266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车主自助扫码进出场景下，车主扫码或输入四位随机码进场，出场时没有匹配到进场记录，被异常放行后，该条进场记录将一直保存，车主下次将无法使用自助进出。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车主扫码触发自助进出流程时，系统检测到已存在自助扫码进场记录的情况下，系统自动将原已保存的自助扫码进场记录顶掉，按当次扫码开闸时间为进场时并计费。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306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7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169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57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26011"/>
      <w:r>
        <w:rPr>
          <w:rFonts w:hint="eastAsia" w:ascii="黑体" w:hAnsi="黑体" w:eastAsia="黑体" w:cs="黑体"/>
          <w:sz w:val="30"/>
          <w:szCs w:val="30"/>
          <w:lang w:val="en-US" w:eastAsia="zh-CN"/>
        </w:rPr>
        <w:t>3.2.10实现基本的引导配置功能</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016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3"/>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在停车场管理模块中增加“快捷配置”模块，为用户提供系统最初的快捷引导配置；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系统自动判断有无完成配置（即完成整个流程，点击“完成配置”按钮 下发配置，），若已存在下发配置操作，则隐藏快捷配置模块；若无下发配置，则显示快捷配置这个模块。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18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4"/>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快捷配置包括四个流程：车场配置、通道设备配置、收费规则配置、创建收费员。</w:t>
      </w: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车场配置：填写停车场名称（输入框，输入后名称将显示在左上角的条标中）、停车场编号（输入框），其他车场配置参数带入默认值；可以添加多个停车场.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保存：保存当前输入的及默认停车场配置（相当于确认新建停车场）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下一步：跳转进入到“通道设备配置”页。</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Tips：未“保存”点击“上一步”/“下一步”，默认保存当前页面填入信息，但不保存配置，点击“保存”才执行新增/编辑/保存配置的操作。以下同，不再作描述。</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1945"/>
            <wp:effectExtent l="0" t="0" r="0" b="8255"/>
            <wp:docPr id="26" name="图片 26" descr="车场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车场配置"/>
                    <pic:cNvPicPr>
                      <a:picLocks noChangeAspect="1"/>
                    </pic:cNvPicPr>
                  </pic:nvPicPr>
                  <pic:blipFill>
                    <a:blip r:embed="rId15"/>
                    <a:stretch>
                      <a:fillRect/>
                    </a:stretch>
                  </pic:blipFill>
                  <pic:spPr>
                    <a:xfrm>
                      <a:off x="0" y="0"/>
                      <a:ext cx="6184900" cy="286194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通道设备配置：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填写通道基础信息，包括选择通道所在的停车场（下拉框）、填入通道名称（输入框，输入后名称将显示在左上角的条标中）、选择通道类型（单选按钮）。其他通道配置项以默认信息自动带入。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填写通道关联的</w:t>
      </w:r>
      <w:r>
        <w:rPr>
          <w:rFonts w:hint="eastAsia" w:ascii="黑体" w:hAnsi="黑体" w:eastAsia="黑体" w:cs="黑体"/>
          <w:color w:val="FF0000"/>
          <w:sz w:val="21"/>
          <w:szCs w:val="21"/>
          <w:lang w:val="en-US" w:eastAsia="zh-CN"/>
        </w:rPr>
        <w:t>摄像机</w:t>
      </w:r>
      <w:r>
        <w:rPr>
          <w:rFonts w:hint="eastAsia" w:ascii="黑体" w:hAnsi="黑体" w:eastAsia="黑体" w:cs="黑体"/>
          <w:sz w:val="21"/>
          <w:szCs w:val="21"/>
          <w:lang w:val="en-US" w:eastAsia="zh-CN"/>
        </w:rPr>
        <w:t>信息，包括摄像机名称（输入框）、摄像机型号（可输入可下拉框）、品牌（可输入可下拉框）、IP地址（输入框）。其他摄像机配置项以默认信息自动带入。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转换板</w:t>
      </w:r>
      <w:r>
        <w:rPr>
          <w:rFonts w:hint="eastAsia" w:ascii="黑体" w:hAnsi="黑体" w:eastAsia="黑体" w:cs="黑体"/>
          <w:sz w:val="21"/>
          <w:szCs w:val="21"/>
          <w:lang w:val="en-US" w:eastAsia="zh-CN"/>
        </w:rPr>
        <w:t>名称（输入框）、IP地址（输入框）。其他转换板配置项以默认信息自动带入。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主控板</w:t>
      </w:r>
      <w:r>
        <w:rPr>
          <w:rFonts w:hint="eastAsia" w:ascii="黑体" w:hAnsi="黑体" w:eastAsia="黑体" w:cs="黑体"/>
          <w:sz w:val="21"/>
          <w:szCs w:val="21"/>
          <w:lang w:val="en-US" w:eastAsia="zh-CN"/>
        </w:rPr>
        <w:t>名称（输入框）、IP地址（输入框）。其他主控板配置项以默认信息自动带入。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添加主控板后默认生成一体机服务</w:t>
      </w:r>
      <w:r>
        <w:rPr>
          <w:rFonts w:hint="eastAsia" w:ascii="黑体" w:hAnsi="黑体" w:eastAsia="黑体" w:cs="黑体"/>
          <w:sz w:val="21"/>
          <w:szCs w:val="21"/>
          <w:lang w:val="en-US" w:eastAsia="zh-CN"/>
        </w:rPr>
        <w:t>，包括</w:t>
      </w:r>
      <w:r>
        <w:rPr>
          <w:rFonts w:hint="eastAsia" w:ascii="黑体" w:hAnsi="黑体" w:eastAsia="黑体" w:cs="黑体"/>
          <w:color w:val="FF0000"/>
          <w:sz w:val="21"/>
          <w:szCs w:val="21"/>
          <w:lang w:val="en-US" w:eastAsia="zh-CN"/>
        </w:rPr>
        <w:t>计费服务、业务服务、运维服务、主动优惠服务</w:t>
      </w:r>
      <w:r>
        <w:rPr>
          <w:rFonts w:hint="eastAsia" w:ascii="黑体" w:hAnsi="黑体" w:eastAsia="黑体" w:cs="黑体"/>
          <w:sz w:val="21"/>
          <w:szCs w:val="21"/>
          <w:lang w:val="en-US" w:eastAsia="zh-CN"/>
        </w:rPr>
        <w:t>等四个一体机服务。服务名称默认为主控板名称+服务类型，比如生成180入口主控板的计费服务，那么服务名称为180入口计费服务。</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调节通道关联的语音板音量大小：可选三个等级，最低（推荐小区）音量20，中间（推荐商场）音量50，最高（推荐嘈杂路段）音量70，默认中间音量50。</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其他</w:t>
      </w:r>
      <w:r>
        <w:rPr>
          <w:rFonts w:hint="eastAsia" w:ascii="黑体" w:hAnsi="黑体" w:eastAsia="黑体" w:cs="黑体"/>
          <w:color w:val="FF0000"/>
          <w:sz w:val="21"/>
          <w:szCs w:val="21"/>
          <w:lang w:val="en-US" w:eastAsia="zh-CN"/>
        </w:rPr>
        <w:t>显示屏和语音板</w:t>
      </w:r>
      <w:r>
        <w:rPr>
          <w:rFonts w:hint="eastAsia" w:ascii="黑体" w:hAnsi="黑体" w:eastAsia="黑体" w:cs="黑体"/>
          <w:sz w:val="21"/>
          <w:szCs w:val="21"/>
          <w:lang w:val="en-US" w:eastAsia="zh-CN"/>
        </w:rPr>
        <w:t>的配置项以默认信息自动带入。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上一步：跳转进入至“车场配置”页面。</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保存：保存当前输入的及默认的通道配置、摄像机、转换板、显示屏、语音板和主控板配置。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下一步：跳转进入至“收费规则”配置页面。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47975"/>
            <wp:effectExtent l="0" t="0" r="0" b="9525"/>
            <wp:docPr id="28" name="图片 28" descr="通道设备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道设备配置"/>
                    <pic:cNvPicPr>
                      <a:picLocks noChangeAspect="1"/>
                    </pic:cNvPicPr>
                  </pic:nvPicPr>
                  <pic:blipFill>
                    <a:blip r:embed="rId16"/>
                    <a:stretch>
                      <a:fillRect/>
                    </a:stretch>
                  </pic:blipFill>
                  <pic:spPr>
                    <a:xfrm>
                      <a:off x="0" y="0"/>
                      <a:ext cx="6184900" cy="28479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Tips:完成通道设备信息这一步，相当于新增通道、摄像机、主控板、转换板、语音板和显示屏，并对他们根据通道进行关联。可以添加多个通道。</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收费规则配置：</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收费规则提供三个常用规则供用户选择（单选按钮），包括免费规则、循环递增规则和按次固定规则，默认选中免费规则，选中的规则默认展开，未选中的规则默认收起。</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72740"/>
            <wp:effectExtent l="0" t="0" r="3810" b="10160"/>
            <wp:docPr id="30" name="图片 30" descr="收费规则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收费规则配置"/>
                    <pic:cNvPicPr>
                      <a:picLocks noChangeAspect="1"/>
                    </pic:cNvPicPr>
                  </pic:nvPicPr>
                  <pic:blipFill>
                    <a:blip r:embed="rId17"/>
                    <a:stretch>
                      <a:fillRect/>
                    </a:stretch>
                  </pic:blipFill>
                  <pic:spPr>
                    <a:xfrm>
                      <a:off x="0" y="0"/>
                      <a:ext cx="6181090" cy="287274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默认显示一个时段，时段1默认为00:00:00-23:59:59，点击+按钮，可添加时段，循环递增规则和按次固定规则都最多仅支持两个时段。添加时段后，时段1默认为08:00:00-18:00:00，时段2默认为18:00:00-08:00:00。</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892800" cy="3193415"/>
            <wp:effectExtent l="0" t="0" r="0" b="6985"/>
            <wp:docPr id="34" name="图片 34" descr="快捷配置_配置收费规则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捷配置_配置收费规则2"/>
                    <pic:cNvPicPr>
                      <a:picLocks noChangeAspect="1"/>
                    </pic:cNvPicPr>
                  </pic:nvPicPr>
                  <pic:blipFill>
                    <a:blip r:embed="rId18"/>
                    <a:stretch>
                      <a:fillRect/>
                    </a:stretch>
                  </pic:blipFill>
                  <pic:spPr>
                    <a:xfrm>
                      <a:off x="0" y="0"/>
                      <a:ext cx="5892800" cy="319341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免费规则</w:t>
      </w:r>
      <w:r>
        <w:rPr>
          <w:rFonts w:hint="eastAsia" w:ascii="黑体" w:hAnsi="黑体" w:eastAsia="黑体" w:cs="黑体"/>
          <w:sz w:val="21"/>
          <w:szCs w:val="21"/>
          <w:lang w:val="en-US" w:eastAsia="zh-CN"/>
        </w:rPr>
        <w:t>：即不收费。</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循环递增规则</w:t>
      </w:r>
      <w:r>
        <w:rPr>
          <w:rFonts w:hint="eastAsia" w:ascii="黑体" w:hAnsi="黑体" w:eastAsia="黑体" w:cs="黑体"/>
          <w:sz w:val="21"/>
          <w:szCs w:val="21"/>
          <w:lang w:val="en-US" w:eastAsia="zh-CN"/>
        </w:rPr>
        <w:t>：可选前xx分钟免费，24小时封顶xx元，如留空则默认无免费时长、无封顶金额。</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设定前xx分钟xx元，之后每xx分钟xx元，该时段封顶xx元（即</w:t>
      </w:r>
      <w:r>
        <w:rPr>
          <w:rFonts w:hint="eastAsia" w:ascii="黑体" w:hAnsi="黑体" w:eastAsia="黑体" w:cs="黑体"/>
          <w:color w:val="FF0000"/>
          <w:sz w:val="21"/>
          <w:szCs w:val="21"/>
          <w:lang w:val="en-US" w:eastAsia="zh-CN"/>
        </w:rPr>
        <w:t>原来的固定额+循环规则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：若停车场收费规则为前30分钟免费，每小时收费5元，24小时封顶20元。那么填入30分钟免费，24小时封顶20元，时段为00:00:00-23:59:59,前60分钟5元，之后每60分钟5元，其余留空。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880"/>
            <wp:effectExtent l="0" t="0" r="2540" b="7620"/>
            <wp:docPr id="31" name="图片 31" descr="收费规则配置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收费规则配置弹窗1"/>
                    <pic:cNvPicPr>
                      <a:picLocks noChangeAspect="1"/>
                    </pic:cNvPicPr>
                  </pic:nvPicPr>
                  <pic:blipFill>
                    <a:blip r:embed="rId19"/>
                    <a:stretch>
                      <a:fillRect/>
                    </a:stretch>
                  </pic:blipFill>
                  <pic:spPr>
                    <a:xfrm>
                      <a:off x="0" y="0"/>
                      <a:ext cx="6182360" cy="284988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b/>
          <w:bCs/>
          <w:sz w:val="21"/>
          <w:szCs w:val="21"/>
          <w:lang w:val="en-US" w:eastAsia="zh-CN"/>
        </w:rPr>
        <w:t>按次固定规则</w:t>
      </w:r>
      <w:r>
        <w:rPr>
          <w:rFonts w:hint="eastAsia" w:ascii="黑体" w:hAnsi="黑体" w:eastAsia="黑体" w:cs="黑体"/>
          <w:sz w:val="21"/>
          <w:szCs w:val="21"/>
          <w:lang w:val="en-US" w:eastAsia="zh-CN"/>
        </w:rPr>
        <w:t>：可选前xx分钟免费，24小时封顶xx元，如留空则默认无免费时长、无封顶金额。设定每次xx元，即</w:t>
      </w:r>
      <w:r>
        <w:rPr>
          <w:rFonts w:hint="eastAsia" w:ascii="黑体" w:hAnsi="黑体" w:eastAsia="黑体" w:cs="黑体"/>
          <w:color w:val="FF0000"/>
          <w:sz w:val="21"/>
          <w:szCs w:val="21"/>
          <w:lang w:val="en-US" w:eastAsia="zh-CN"/>
        </w:rPr>
        <w:t>原来的计次规则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：若停车场收费规则为8点至18点每次8元，18点至次日8点每次5元，无免费和封顶。那么免费和封顶均留空，时段1为08:00:00-18:00:00,每次8元；时段2为18:00:00-08:00:00，每次5元。</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32" name="图片 32" descr="收费规则配置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收费规则配置弹窗2"/>
                    <pic:cNvPicPr>
                      <a:picLocks noChangeAspect="1"/>
                    </pic:cNvPicPr>
                  </pic:nvPicPr>
                  <pic:blipFill>
                    <a:blip r:embed="rId20"/>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（4）上一步：跳转进入至“通道配置设备”页面。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（5）保存：保存当前设置的收费规则，并设为默认计费组。</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（6）下一步：跳转进入至“创建收费员”配置页面。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Tips：用户配置好收费规则并保存后，将此收费规则设定为默认收费规则和默认计费组，并自动与前两步创建的停车场关联起来，若创建了多个停车场，将此收费规则关联到每个停车场。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创建收费员：</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表格形式展示已增加的收费员信息，初始化时无收费员则表格内容为空。</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4960"/>
            <wp:effectExtent l="0" t="0" r="0" b="2540"/>
            <wp:docPr id="35" name="图片 35" descr="创建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收费员"/>
                    <pic:cNvPicPr>
                      <a:picLocks noChangeAspect="1"/>
                    </pic:cNvPicPr>
                  </pic:nvPicPr>
                  <pic:blipFill>
                    <a:blip r:embed="rId21"/>
                    <a:stretch>
                      <a:fillRect/>
                    </a:stretch>
                  </pic:blipFill>
                  <pic:spPr>
                    <a:xfrm>
                      <a:off x="0" y="0"/>
                      <a:ext cx="6184900" cy="285496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点击添加收费员按钮，弹出添加收费员弹窗，填写收费员相关信息和设定相关权限后即新增收费员。</w:t>
      </w:r>
      <w:r>
        <w:rPr>
          <w:rFonts w:hint="eastAsia" w:ascii="黑体" w:hAnsi="黑体" w:eastAsia="黑体" w:cs="黑体"/>
          <w:color w:val="FF0000"/>
          <w:sz w:val="21"/>
          <w:szCs w:val="21"/>
          <w:lang w:val="en-US" w:eastAsia="zh-CN"/>
        </w:rPr>
        <w:t>设置收费权限默认全选所有权限</w:t>
      </w:r>
      <w:r>
        <w:rPr>
          <w:rFonts w:hint="eastAsia" w:ascii="黑体" w:hAnsi="黑体" w:eastAsia="黑体" w:cs="黑体"/>
          <w:sz w:val="21"/>
          <w:szCs w:val="21"/>
          <w:lang w:val="en-US" w:eastAsia="zh-CN"/>
        </w:rPr>
        <w:t>。</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0675"/>
            <wp:effectExtent l="0" t="0" r="4445" b="9525"/>
            <wp:docPr id="36" name="图片 36" descr="创建收费员-添加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收费员-添加收费员"/>
                    <pic:cNvPicPr>
                      <a:picLocks noChangeAspect="1"/>
                    </pic:cNvPicPr>
                  </pic:nvPicPr>
                  <pic:blipFill>
                    <a:blip r:embed="rId22"/>
                    <a:stretch>
                      <a:fillRect/>
                    </a:stretch>
                  </pic:blipFill>
                  <pic:spPr>
                    <a:xfrm>
                      <a:off x="0" y="0"/>
                      <a:ext cx="6180455" cy="2860675"/>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收费员信息可编辑，与添加收费员弹窗内容一致。</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868930"/>
            <wp:effectExtent l="0" t="0" r="9525" b="1270"/>
            <wp:docPr id="37" name="图片 37" descr="创建收费员-编辑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收费员-编辑收费员"/>
                    <pic:cNvPicPr>
                      <a:picLocks noChangeAspect="1"/>
                    </pic:cNvPicPr>
                  </pic:nvPicPr>
                  <pic:blipFill>
                    <a:blip r:embed="rId23"/>
                    <a:stretch>
                      <a:fillRect/>
                    </a:stretch>
                  </pic:blipFill>
                  <pic:spPr>
                    <a:xfrm>
                      <a:off x="0" y="0"/>
                      <a:ext cx="6188075" cy="286893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收费员信息可删除，点击删除弹出二次确认弹窗，确认后执行删除操作。</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3850"/>
            <wp:effectExtent l="0" t="0" r="4445" b="6350"/>
            <wp:docPr id="38" name="图片 38" descr="创建收费员-删除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收费员-删除收费员"/>
                    <pic:cNvPicPr>
                      <a:picLocks noChangeAspect="1"/>
                    </pic:cNvPicPr>
                  </pic:nvPicPr>
                  <pic:blipFill>
                    <a:blip r:embed="rId24"/>
                    <a:stretch>
                      <a:fillRect/>
                    </a:stretch>
                  </pic:blipFill>
                  <pic:spPr>
                    <a:xfrm>
                      <a:off x="0" y="0"/>
                      <a:ext cx="6180455" cy="286385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w:t>
      </w:r>
      <w:r>
        <w:rPr>
          <w:rFonts w:hint="eastAsia" w:ascii="黑体" w:hAnsi="黑体" w:eastAsia="黑体" w:cs="黑体"/>
          <w:color w:val="FF0000"/>
          <w:sz w:val="21"/>
          <w:szCs w:val="21"/>
          <w:lang w:val="en-US" w:eastAsia="zh-CN"/>
        </w:rPr>
        <w:t>完成配置</w:t>
      </w:r>
      <w:r>
        <w:rPr>
          <w:rFonts w:hint="eastAsia" w:ascii="黑体" w:hAnsi="黑体" w:eastAsia="黑体" w:cs="黑体"/>
          <w:sz w:val="21"/>
          <w:szCs w:val="21"/>
          <w:lang w:val="en-US" w:eastAsia="zh-CN"/>
        </w:rPr>
        <w:t>”按钮，弹出二次确认弹窗。</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41" name="图片 41" descr="完成配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完成配置弹窗"/>
                    <pic:cNvPicPr>
                      <a:picLocks noChangeAspect="1"/>
                    </pic:cNvPicPr>
                  </pic:nvPicPr>
                  <pic:blipFill>
                    <a:blip r:embed="rId25"/>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确认操作后后跳转至下发状态页面，在页面上显示下发过程和下发结果状态。</w:t>
      </w:r>
      <w:r>
        <w:rPr>
          <w:rFonts w:hint="eastAsia" w:ascii="黑体" w:hAnsi="黑体" w:eastAsia="黑体" w:cs="黑体"/>
          <w:color w:val="FF0000"/>
          <w:sz w:val="21"/>
          <w:szCs w:val="21"/>
          <w:lang w:val="en-US" w:eastAsia="zh-CN"/>
        </w:rPr>
        <w:t>默认保存整个流程的所有配置（包括未展示的带入的默认配置），并向一体机下发所有配置</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22825" cy="4664075"/>
            <wp:effectExtent l="0" t="0" r="3175" b="9525"/>
            <wp:docPr id="40" name="图片 40" descr="快捷配置_完成配置情况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快捷配置_完成配置情况页面"/>
                    <pic:cNvPicPr>
                      <a:picLocks noChangeAspect="1"/>
                    </pic:cNvPicPr>
                  </pic:nvPicPr>
                  <pic:blipFill>
                    <a:blip r:embed="rId26"/>
                    <a:stretch>
                      <a:fillRect/>
                    </a:stretch>
                  </pic:blipFill>
                  <pic:spPr>
                    <a:xfrm>
                      <a:off x="0" y="0"/>
                      <a:ext cx="4822825" cy="46640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系统自动判断是否已完成整个流程配置并下发配置，当判断到系统已有并已下发配置（点击完成配置按钮）后隐藏“快捷配置”模块。</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旧系统升级后系统需自动判断是否已有配置，已有并下发配置的系统默认不显示“快捷配置”模块。</w:t>
      </w:r>
    </w:p>
    <w:p>
      <w:pPr>
        <w:numPr>
          <w:ilvl w:val="0"/>
          <w:numId w:val="0"/>
        </w:numPr>
        <w:tabs>
          <w:tab w:val="left" w:pos="2245"/>
        </w:tabs>
        <w:jc w:val="center"/>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758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8595"/>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57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1609"/>
      <w:r>
        <w:rPr>
          <w:rFonts w:hint="eastAsia" w:ascii="黑体" w:hAnsi="黑体" w:eastAsia="黑体" w:cs="黑体"/>
          <w:sz w:val="30"/>
          <w:szCs w:val="30"/>
          <w:lang w:val="en-US" w:eastAsia="zh-CN"/>
        </w:rPr>
        <w:t>3.2.11可配置是否允许同一账号登录不同主控板</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119" w:name="_Toc1062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（1）在VEMS后台管理-个性化开关配置中</w:t>
      </w:r>
      <w:r>
        <w:rPr>
          <w:rFonts w:hint="eastAsia" w:ascii="黑体" w:hAnsi="黑体" w:eastAsia="黑体" w:cs="黑体"/>
          <w:b w:val="0"/>
          <w:bCs w:val="0"/>
          <w:color w:val="FF0000"/>
          <w:sz w:val="21"/>
          <w:szCs w:val="21"/>
          <w:lang w:val="en-US" w:eastAsia="zh-CN"/>
        </w:rPr>
        <w:t>增加一个配置项，可选“是否允许同一账号登录不同主控板”</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（2）此配置项</w:t>
      </w:r>
      <w:r>
        <w:rPr>
          <w:rFonts w:hint="eastAsia" w:ascii="黑体" w:hAnsi="黑体" w:eastAsia="黑体" w:cs="黑体"/>
          <w:b w:val="0"/>
          <w:bCs w:val="0"/>
          <w:color w:val="FF0000"/>
          <w:sz w:val="21"/>
          <w:szCs w:val="21"/>
          <w:lang w:val="en-US" w:eastAsia="zh-CN"/>
        </w:rPr>
        <w:t>默认关闭，即不允许同一账号登录不同主控板</w:t>
      </w:r>
      <w:r>
        <w:rPr>
          <w:rFonts w:hint="eastAsia" w:ascii="黑体" w:hAnsi="黑体" w:eastAsia="黑体" w:cs="黑体"/>
          <w:b w:val="0"/>
          <w:bCs w:val="0"/>
          <w:sz w:val="21"/>
          <w:szCs w:val="21"/>
          <w:lang w:val="en-US" w:eastAsia="zh-CN"/>
        </w:rPr>
        <w:t>，当同一个账号在另一个主控板登录时，当前主控板的账号将被强制下线。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（3）开启后可允许同一账号登录不同主控板。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169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0"/>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2865755"/>
            <wp:effectExtent l="0" t="0" r="10795" b="4445"/>
            <wp:docPr id="9" name="图片 9" descr="可配置是否允许同一账号登录不同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可配置是否允许同一账号登录不同主控板"/>
                    <pic:cNvPicPr>
                      <a:picLocks noChangeAspect="1"/>
                    </pic:cNvPicPr>
                  </pic:nvPicPr>
                  <pic:blipFill>
                    <a:blip r:embed="rId27"/>
                    <a:stretch>
                      <a:fillRect/>
                    </a:stretch>
                  </pic:blipFill>
                  <pic:spPr>
                    <a:xfrm>
                      <a:off x="0" y="0"/>
                      <a:ext cx="6186805"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7171"/>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248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095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4" w:name="_Toc5080"/>
      <w:bookmarkStart w:id="125" w:name="_Toc32243"/>
      <w:bookmarkStart w:id="126" w:name="_Toc19556"/>
      <w:bookmarkStart w:id="127" w:name="_Toc3662"/>
      <w:r>
        <w:rPr>
          <w:rFonts w:hint="eastAsia" w:ascii="黑体" w:hAnsi="黑体" w:eastAsia="黑体" w:cs="黑体"/>
          <w:szCs w:val="22"/>
          <w:lang w:val="en-US" w:eastAsia="zh-CN"/>
        </w:rPr>
        <w:t>4.非功能性需求</w:t>
      </w:r>
      <w:bookmarkEnd w:id="124"/>
      <w:bookmarkEnd w:id="125"/>
      <w:bookmarkEnd w:id="126"/>
      <w:bookmarkEnd w:id="127"/>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8" w:name="_Toc7429177"/>
            <w:bookmarkEnd w:id="12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9" w:name="_Toc20296"/>
      <w:bookmarkEnd w:id="129"/>
      <w:bookmarkStart w:id="130" w:name="_Toc31005"/>
      <w:bookmarkEnd w:id="130"/>
      <w:bookmarkStart w:id="131" w:name="_Toc16300"/>
      <w:bookmarkEnd w:id="131"/>
      <w:bookmarkStart w:id="13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3" w:name="_Toc24098"/>
      <w:bookmarkStart w:id="134" w:name="_Toc13821"/>
      <w:bookmarkStart w:id="135" w:name="_Toc10698"/>
      <w:bookmarkStart w:id="136" w:name="_Toc7736"/>
      <w:r>
        <w:rPr>
          <w:rFonts w:hint="eastAsia" w:ascii="黑体" w:hAnsi="黑体" w:eastAsia="黑体" w:cs="黑体"/>
          <w:szCs w:val="22"/>
          <w:lang w:val="en-US" w:eastAsia="zh-CN"/>
        </w:rPr>
        <w:t>5.外部接口说明</w:t>
      </w:r>
      <w:bookmarkEnd w:id="132"/>
      <w:bookmarkEnd w:id="133"/>
      <w:bookmarkEnd w:id="134"/>
      <w:bookmarkEnd w:id="135"/>
      <w:bookmarkEnd w:id="13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4050"/>
      <w:bookmarkEnd w:id="137"/>
      <w:bookmarkStart w:id="138" w:name="_Toc2018"/>
      <w:bookmarkEnd w:id="138"/>
      <w:bookmarkStart w:id="139" w:name="_Toc9737"/>
      <w:bookmarkEnd w:id="139"/>
      <w:bookmarkStart w:id="140" w:name="_Toc2635"/>
      <w:bookmarkStart w:id="141" w:name="_Toc1804"/>
      <w:bookmarkStart w:id="142" w:name="_Toc3907"/>
      <w:bookmarkStart w:id="143" w:name="_Toc4428"/>
      <w:bookmarkStart w:id="144" w:name="_Toc28063"/>
      <w:r>
        <w:rPr>
          <w:rFonts w:hint="eastAsia" w:ascii="黑体" w:hAnsi="黑体" w:eastAsia="黑体" w:cs="黑体"/>
          <w:szCs w:val="22"/>
          <w:lang w:val="en-US" w:eastAsia="zh-CN"/>
        </w:rPr>
        <w:t>6.附件</w:t>
      </w:r>
      <w:bookmarkEnd w:id="140"/>
      <w:bookmarkEnd w:id="141"/>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7732"/>
      <w:bookmarkEnd w:id="145"/>
      <w:bookmarkStart w:id="146" w:name="_Toc12766"/>
      <w:bookmarkEnd w:id="146"/>
      <w:bookmarkStart w:id="147" w:name="_Toc8307"/>
      <w:bookmarkEnd w:id="147"/>
      <w:bookmarkStart w:id="148" w:name="_Toc21233"/>
      <w:bookmarkStart w:id="149" w:name="_Toc19341"/>
      <w:bookmarkStart w:id="150" w:name="_Toc4384"/>
      <w:bookmarkStart w:id="151" w:name="_Toc23728"/>
      <w:bookmarkStart w:id="152" w:name="_Toc6861"/>
      <w:r>
        <w:rPr>
          <w:rFonts w:hint="eastAsia" w:ascii="黑体" w:hAnsi="黑体" w:eastAsia="黑体" w:cs="黑体"/>
          <w:szCs w:val="22"/>
          <w:lang w:val="en-US" w:eastAsia="zh-CN"/>
        </w:rPr>
        <w:t>7.附录</w:t>
      </w:r>
      <w:bookmarkEnd w:id="148"/>
      <w:bookmarkEnd w:id="149"/>
      <w:bookmarkEnd w:id="150"/>
      <w:bookmarkEnd w:id="151"/>
      <w:bookmarkEnd w:id="15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3" w:name="_Toc25562"/>
      <w:bookmarkEnd w:id="153"/>
      <w:bookmarkStart w:id="154" w:name="_Toc20160"/>
      <w:bookmarkEnd w:id="154"/>
      <w:bookmarkStart w:id="155" w:name="_Toc18023"/>
      <w:bookmarkStart w:id="156" w:name="_Toc10464"/>
      <w:bookmarkStart w:id="157" w:name="_Toc13440"/>
      <w:bookmarkStart w:id="158" w:name="_Toc22105"/>
      <w:bookmarkStart w:id="159"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5"/>
      <w:bookmarkEnd w:id="156"/>
      <w:bookmarkEnd w:id="157"/>
      <w:bookmarkEnd w:id="158"/>
      <w:bookmarkEnd w:id="159"/>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32744"/>
      <w:bookmarkEnd w:id="160"/>
      <w:bookmarkStart w:id="161" w:name="_Toc1779"/>
      <w:bookmarkEnd w:id="161"/>
      <w:bookmarkStart w:id="162" w:name="_Toc2158"/>
      <w:bookmarkStart w:id="163" w:name="_Toc10037"/>
      <w:bookmarkStart w:id="164" w:name="_Toc9981"/>
      <w:bookmarkStart w:id="165" w:name="_Toc14972"/>
      <w:bookmarkStart w:id="166"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2"/>
      <w:bookmarkEnd w:id="163"/>
      <w:bookmarkEnd w:id="164"/>
      <w:bookmarkEnd w:id="165"/>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3B6087"/>
    <w:multiLevelType w:val="singleLevel"/>
    <w:tmpl w:val="803B6087"/>
    <w:lvl w:ilvl="0" w:tentative="0">
      <w:start w:val="1"/>
      <w:numFmt w:val="decimal"/>
      <w:suff w:val="nothing"/>
      <w:lvlText w:val="（%1）"/>
      <w:lvlJc w:val="left"/>
    </w:lvl>
  </w:abstractNum>
  <w:abstractNum w:abstractNumId="1">
    <w:nsid w:val="B20DDC50"/>
    <w:multiLevelType w:val="singleLevel"/>
    <w:tmpl w:val="B20DDC50"/>
    <w:lvl w:ilvl="0" w:tentative="0">
      <w:start w:val="1"/>
      <w:numFmt w:val="decimal"/>
      <w:suff w:val="nothing"/>
      <w:lvlText w:val="（%1）"/>
      <w:lvlJc w:val="left"/>
    </w:lvl>
  </w:abstractNum>
  <w:abstractNum w:abstractNumId="2">
    <w:nsid w:val="EE968AA2"/>
    <w:multiLevelType w:val="singleLevel"/>
    <w:tmpl w:val="EE968AA2"/>
    <w:lvl w:ilvl="0" w:tentative="0">
      <w:start w:val="1"/>
      <w:numFmt w:val="decimal"/>
      <w:suff w:val="nothing"/>
      <w:lvlText w:val="（%1）"/>
      <w:lvlJc w:val="left"/>
    </w:lvl>
  </w:abstractNum>
  <w:abstractNum w:abstractNumId="3">
    <w:nsid w:val="0AC7D4AB"/>
    <w:multiLevelType w:val="singleLevel"/>
    <w:tmpl w:val="0AC7D4AB"/>
    <w:lvl w:ilvl="0" w:tentative="0">
      <w:start w:val="1"/>
      <w:numFmt w:val="decimal"/>
      <w:suff w:val="nothing"/>
      <w:lvlText w:val="%1、"/>
      <w:lvlJc w:val="left"/>
    </w:lvl>
  </w:abstractNum>
  <w:abstractNum w:abstractNumId="4">
    <w:nsid w:val="4D6A90BF"/>
    <w:multiLevelType w:val="singleLevel"/>
    <w:tmpl w:val="4D6A90BF"/>
    <w:lvl w:ilvl="0" w:tentative="0">
      <w:start w:val="1"/>
      <w:numFmt w:val="decimal"/>
      <w:suff w:val="nothing"/>
      <w:lvlText w:val="（%1）"/>
      <w:lvlJc w:val="left"/>
    </w:lvl>
  </w:abstractNum>
  <w:abstractNum w:abstractNumId="5">
    <w:nsid w:val="55F9768D"/>
    <w:multiLevelType w:val="singleLevel"/>
    <w:tmpl w:val="55F9768D"/>
    <w:lvl w:ilvl="0" w:tentative="0">
      <w:start w:val="1"/>
      <w:numFmt w:val="decimal"/>
      <w:suff w:val="nothing"/>
      <w:lvlText w:val="%1、"/>
      <w:lvlJc w:val="left"/>
    </w:lvl>
  </w:abstractNum>
  <w:abstractNum w:abstractNumId="6">
    <w:nsid w:val="55F97F5F"/>
    <w:multiLevelType w:val="singleLevel"/>
    <w:tmpl w:val="55F97F5F"/>
    <w:lvl w:ilvl="0" w:tentative="0">
      <w:start w:val="1"/>
      <w:numFmt w:val="decimal"/>
      <w:suff w:val="nothing"/>
      <w:lvlText w:val="%1、"/>
      <w:lvlJc w:val="left"/>
    </w:lvl>
  </w:abstractNum>
  <w:abstractNum w:abstractNumId="7">
    <w:nsid w:val="55F998A4"/>
    <w:multiLevelType w:val="singleLevel"/>
    <w:tmpl w:val="55F998A4"/>
    <w:lvl w:ilvl="0" w:tentative="0">
      <w:start w:val="1"/>
      <w:numFmt w:val="decimal"/>
      <w:suff w:val="nothing"/>
      <w:lvlText w:val="%1、"/>
      <w:lvlJc w:val="left"/>
    </w:lvl>
  </w:abstractNum>
  <w:abstractNum w:abstractNumId="8">
    <w:nsid w:val="55F9993B"/>
    <w:multiLevelType w:val="singleLevel"/>
    <w:tmpl w:val="55F9993B"/>
    <w:lvl w:ilvl="0" w:tentative="0">
      <w:start w:val="1"/>
      <w:numFmt w:val="decimal"/>
      <w:suff w:val="nothing"/>
      <w:lvlText w:val="%1、"/>
      <w:lvlJc w:val="left"/>
    </w:lvl>
  </w:abstractNum>
  <w:abstractNum w:abstractNumId="9">
    <w:nsid w:val="55FCFACF"/>
    <w:multiLevelType w:val="singleLevel"/>
    <w:tmpl w:val="55FCFACF"/>
    <w:lvl w:ilvl="0" w:tentative="0">
      <w:start w:val="1"/>
      <w:numFmt w:val="decimal"/>
      <w:suff w:val="nothing"/>
      <w:lvlText w:val="%1、"/>
      <w:lvlJc w:val="left"/>
    </w:lvl>
  </w:abstractNum>
  <w:abstractNum w:abstractNumId="10">
    <w:nsid w:val="56AD97C3"/>
    <w:multiLevelType w:val="singleLevel"/>
    <w:tmpl w:val="56AD97C3"/>
    <w:lvl w:ilvl="0" w:tentative="0">
      <w:start w:val="1"/>
      <w:numFmt w:val="decimal"/>
      <w:suff w:val="nothing"/>
      <w:lvlText w:val="%1、"/>
      <w:lvlJc w:val="left"/>
    </w:lvl>
  </w:abstractNum>
  <w:abstractNum w:abstractNumId="11">
    <w:nsid w:val="56AD982D"/>
    <w:multiLevelType w:val="singleLevel"/>
    <w:tmpl w:val="56AD982D"/>
    <w:lvl w:ilvl="0" w:tentative="0">
      <w:start w:val="1"/>
      <w:numFmt w:val="decimal"/>
      <w:suff w:val="nothing"/>
      <w:lvlText w:val="%1、"/>
      <w:lvlJc w:val="left"/>
    </w:lvl>
  </w:abstractNum>
  <w:abstractNum w:abstractNumId="12">
    <w:nsid w:val="570A4A5A"/>
    <w:multiLevelType w:val="singleLevel"/>
    <w:tmpl w:val="570A4A5A"/>
    <w:lvl w:ilvl="0" w:tentative="0">
      <w:start w:val="1"/>
      <w:numFmt w:val="decimal"/>
      <w:suff w:val="nothing"/>
      <w:lvlText w:val="（%1）"/>
      <w:lvlJc w:val="left"/>
    </w:lvl>
  </w:abstractNum>
  <w:abstractNum w:abstractNumId="13">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4">
    <w:nsid w:val="59FF3EF2"/>
    <w:multiLevelType w:val="singleLevel"/>
    <w:tmpl w:val="59FF3EF2"/>
    <w:lvl w:ilvl="0" w:tentative="0">
      <w:start w:val="9"/>
      <w:numFmt w:val="decimal"/>
      <w:suff w:val="nothing"/>
      <w:lvlText w:val="%1、"/>
      <w:lvlJc w:val="left"/>
    </w:lvl>
  </w:abstractNum>
  <w:abstractNum w:abstractNumId="15">
    <w:nsid w:val="59FF3F2B"/>
    <w:multiLevelType w:val="singleLevel"/>
    <w:tmpl w:val="59FF3F2B"/>
    <w:lvl w:ilvl="0" w:tentative="0">
      <w:start w:val="2"/>
      <w:numFmt w:val="decimal"/>
      <w:lvlText w:val="%1."/>
      <w:lvlJc w:val="left"/>
      <w:pPr>
        <w:tabs>
          <w:tab w:val="left" w:pos="312"/>
        </w:tabs>
      </w:pPr>
    </w:lvl>
  </w:abstractNum>
  <w:num w:numId="1">
    <w:abstractNumId w:val="13"/>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4"/>
  </w:num>
  <w:num w:numId="10">
    <w:abstractNumId w:val="15"/>
  </w:num>
  <w:num w:numId="11">
    <w:abstractNumId w:val="4"/>
  </w:num>
  <w:num w:numId="12">
    <w:abstractNumId w:val="3"/>
  </w:num>
  <w:num w:numId="13">
    <w:abstractNumId w:val="1"/>
  </w:num>
  <w:num w:numId="14">
    <w:abstractNumId w:val="0"/>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08E01AD"/>
    <w:rsid w:val="013D5616"/>
    <w:rsid w:val="019F0E8D"/>
    <w:rsid w:val="01C64AF8"/>
    <w:rsid w:val="01DF72F9"/>
    <w:rsid w:val="01E66C66"/>
    <w:rsid w:val="02535C8B"/>
    <w:rsid w:val="02F710E9"/>
    <w:rsid w:val="02FF7C45"/>
    <w:rsid w:val="04B60CA4"/>
    <w:rsid w:val="05976929"/>
    <w:rsid w:val="068C0382"/>
    <w:rsid w:val="06CE12ED"/>
    <w:rsid w:val="07315542"/>
    <w:rsid w:val="075051FC"/>
    <w:rsid w:val="07E220CE"/>
    <w:rsid w:val="08792263"/>
    <w:rsid w:val="088A46A0"/>
    <w:rsid w:val="095336D6"/>
    <w:rsid w:val="09563661"/>
    <w:rsid w:val="0A1B3035"/>
    <w:rsid w:val="0A9D308D"/>
    <w:rsid w:val="0C4F76C0"/>
    <w:rsid w:val="0D83542D"/>
    <w:rsid w:val="0DC40341"/>
    <w:rsid w:val="101C0D54"/>
    <w:rsid w:val="10396477"/>
    <w:rsid w:val="10492D52"/>
    <w:rsid w:val="124A6CE9"/>
    <w:rsid w:val="13426F38"/>
    <w:rsid w:val="14BC0504"/>
    <w:rsid w:val="15354836"/>
    <w:rsid w:val="15580462"/>
    <w:rsid w:val="15AE3784"/>
    <w:rsid w:val="160A1D3D"/>
    <w:rsid w:val="160C08E0"/>
    <w:rsid w:val="1739478C"/>
    <w:rsid w:val="1797650A"/>
    <w:rsid w:val="187D76B5"/>
    <w:rsid w:val="187E3EAD"/>
    <w:rsid w:val="18CF49C0"/>
    <w:rsid w:val="19C50589"/>
    <w:rsid w:val="1BF315D8"/>
    <w:rsid w:val="1CA361EE"/>
    <w:rsid w:val="1D764C88"/>
    <w:rsid w:val="1E893441"/>
    <w:rsid w:val="1EBA62E6"/>
    <w:rsid w:val="1F7637FD"/>
    <w:rsid w:val="208161FE"/>
    <w:rsid w:val="213D0863"/>
    <w:rsid w:val="218E7369"/>
    <w:rsid w:val="22BC711E"/>
    <w:rsid w:val="22DD52A4"/>
    <w:rsid w:val="23424E5D"/>
    <w:rsid w:val="23822C4F"/>
    <w:rsid w:val="23F27E68"/>
    <w:rsid w:val="23FA19AD"/>
    <w:rsid w:val="243243D0"/>
    <w:rsid w:val="24A274D5"/>
    <w:rsid w:val="274D1015"/>
    <w:rsid w:val="276F73FF"/>
    <w:rsid w:val="28E91CB6"/>
    <w:rsid w:val="2A127A1C"/>
    <w:rsid w:val="2A2926C2"/>
    <w:rsid w:val="2A67433C"/>
    <w:rsid w:val="2AB617BA"/>
    <w:rsid w:val="2CA122B4"/>
    <w:rsid w:val="2CB64B4C"/>
    <w:rsid w:val="2DBB6543"/>
    <w:rsid w:val="2E2E3EA7"/>
    <w:rsid w:val="2F643DDD"/>
    <w:rsid w:val="31AA3AAE"/>
    <w:rsid w:val="33F217B5"/>
    <w:rsid w:val="34656C3D"/>
    <w:rsid w:val="35D92829"/>
    <w:rsid w:val="36C8793E"/>
    <w:rsid w:val="36FE7803"/>
    <w:rsid w:val="378F6201"/>
    <w:rsid w:val="37982C3E"/>
    <w:rsid w:val="3809299A"/>
    <w:rsid w:val="384A11EC"/>
    <w:rsid w:val="38E23B73"/>
    <w:rsid w:val="3A116000"/>
    <w:rsid w:val="3A18497E"/>
    <w:rsid w:val="3A490322"/>
    <w:rsid w:val="3A543A05"/>
    <w:rsid w:val="3AA72DAE"/>
    <w:rsid w:val="3B79288C"/>
    <w:rsid w:val="3BEF7191"/>
    <w:rsid w:val="3C1D250D"/>
    <w:rsid w:val="3C606567"/>
    <w:rsid w:val="3D226533"/>
    <w:rsid w:val="3D5F3564"/>
    <w:rsid w:val="3D6954E4"/>
    <w:rsid w:val="3D9D3F8D"/>
    <w:rsid w:val="3DEB4F42"/>
    <w:rsid w:val="3E400D20"/>
    <w:rsid w:val="3FF518C9"/>
    <w:rsid w:val="401826C5"/>
    <w:rsid w:val="411855B1"/>
    <w:rsid w:val="425D642D"/>
    <w:rsid w:val="4279664F"/>
    <w:rsid w:val="42F82F2B"/>
    <w:rsid w:val="439B266C"/>
    <w:rsid w:val="440E6C2C"/>
    <w:rsid w:val="45CA3662"/>
    <w:rsid w:val="45ED4CD8"/>
    <w:rsid w:val="45F64FD9"/>
    <w:rsid w:val="4635648E"/>
    <w:rsid w:val="465A305A"/>
    <w:rsid w:val="471C0D01"/>
    <w:rsid w:val="474B3882"/>
    <w:rsid w:val="477A7F18"/>
    <w:rsid w:val="47FA54D5"/>
    <w:rsid w:val="49E80BAB"/>
    <w:rsid w:val="4B7C710B"/>
    <w:rsid w:val="4BCA0187"/>
    <w:rsid w:val="4CD77CA1"/>
    <w:rsid w:val="4E814F19"/>
    <w:rsid w:val="4F286FFD"/>
    <w:rsid w:val="4F8E0F64"/>
    <w:rsid w:val="4FDA35F0"/>
    <w:rsid w:val="501227DB"/>
    <w:rsid w:val="52375F55"/>
    <w:rsid w:val="527D4A56"/>
    <w:rsid w:val="53336821"/>
    <w:rsid w:val="53806686"/>
    <w:rsid w:val="53D05945"/>
    <w:rsid w:val="53DE3CCC"/>
    <w:rsid w:val="542A46A4"/>
    <w:rsid w:val="54A37FDB"/>
    <w:rsid w:val="559468B1"/>
    <w:rsid w:val="55CA1FB5"/>
    <w:rsid w:val="55CA21C0"/>
    <w:rsid w:val="56257700"/>
    <w:rsid w:val="562E51FA"/>
    <w:rsid w:val="56524C19"/>
    <w:rsid w:val="568331FC"/>
    <w:rsid w:val="56AF133C"/>
    <w:rsid w:val="590B7EB0"/>
    <w:rsid w:val="59105F34"/>
    <w:rsid w:val="59175FC6"/>
    <w:rsid w:val="5AD2457C"/>
    <w:rsid w:val="5B244D88"/>
    <w:rsid w:val="5C697210"/>
    <w:rsid w:val="5CC013E0"/>
    <w:rsid w:val="5CCF5D26"/>
    <w:rsid w:val="5CE803D2"/>
    <w:rsid w:val="5CE9637C"/>
    <w:rsid w:val="5D485E2E"/>
    <w:rsid w:val="5DF46315"/>
    <w:rsid w:val="5E161C80"/>
    <w:rsid w:val="5E606579"/>
    <w:rsid w:val="5EB6510B"/>
    <w:rsid w:val="61EA256F"/>
    <w:rsid w:val="621F7B57"/>
    <w:rsid w:val="633E5235"/>
    <w:rsid w:val="64713CEE"/>
    <w:rsid w:val="656C0CD1"/>
    <w:rsid w:val="67076163"/>
    <w:rsid w:val="67A0238D"/>
    <w:rsid w:val="682433FD"/>
    <w:rsid w:val="68AE5DDD"/>
    <w:rsid w:val="68E514E5"/>
    <w:rsid w:val="68FA29FA"/>
    <w:rsid w:val="6A857758"/>
    <w:rsid w:val="6A951C8B"/>
    <w:rsid w:val="6ACF3596"/>
    <w:rsid w:val="6B437CEB"/>
    <w:rsid w:val="6B472CC1"/>
    <w:rsid w:val="6CC72C84"/>
    <w:rsid w:val="6CE55955"/>
    <w:rsid w:val="6CF048BE"/>
    <w:rsid w:val="6CF05582"/>
    <w:rsid w:val="6D143B0A"/>
    <w:rsid w:val="6D535020"/>
    <w:rsid w:val="6E064CEB"/>
    <w:rsid w:val="6F2118C1"/>
    <w:rsid w:val="6F540AC7"/>
    <w:rsid w:val="6FA122B7"/>
    <w:rsid w:val="70025BF2"/>
    <w:rsid w:val="7004144E"/>
    <w:rsid w:val="703A51A5"/>
    <w:rsid w:val="70B6258C"/>
    <w:rsid w:val="720C3C78"/>
    <w:rsid w:val="7234474A"/>
    <w:rsid w:val="725F62AE"/>
    <w:rsid w:val="73827EF0"/>
    <w:rsid w:val="746D116A"/>
    <w:rsid w:val="75901202"/>
    <w:rsid w:val="75D129FA"/>
    <w:rsid w:val="75DF115E"/>
    <w:rsid w:val="761D1E6E"/>
    <w:rsid w:val="77080C2A"/>
    <w:rsid w:val="77BF27E4"/>
    <w:rsid w:val="793C7DB2"/>
    <w:rsid w:val="7A160DA2"/>
    <w:rsid w:val="7BBB070A"/>
    <w:rsid w:val="7BF33424"/>
    <w:rsid w:val="7C7F1BD7"/>
    <w:rsid w:val="7CAA16B0"/>
    <w:rsid w:val="7CC50BE3"/>
    <w:rsid w:val="7D8C2BBC"/>
    <w:rsid w:val="7DBE68D1"/>
    <w:rsid w:val="7E4D683F"/>
    <w:rsid w:val="7EAA3AC0"/>
    <w:rsid w:val="7F5610CF"/>
    <w:rsid w:val="7FCA7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2018-06-13T08:38:53Z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