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4610"/>
      <w:bookmarkStart w:id="2" w:name="_Toc26904"/>
      <w:bookmarkStart w:id="3" w:name="_Toc32188"/>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7</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15308"/>
      <w:bookmarkStart w:id="5" w:name="_Toc20292"/>
      <w:bookmarkStart w:id="6" w:name="_Toc29727"/>
      <w:bookmarkStart w:id="7" w:name="_Toc21290"/>
      <w:bookmarkStart w:id="8" w:name="_Toc9614"/>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V2.17.需求文档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9011"/>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_Toc32188 </w:instrText>
      </w:r>
      <w:r>
        <w:fldChar w:fldCharType="separate"/>
      </w:r>
      <w:r>
        <w:rPr>
          <w:rFonts w:hint="eastAsia" w:ascii="黑体" w:hAnsi="黑体" w:eastAsia="黑体" w:cs="黑体"/>
          <w:lang w:val="en-US" w:eastAsia="zh-CN"/>
        </w:rPr>
        <w:t>停车场管理系统V2.17</w:t>
      </w:r>
      <w:r>
        <w:tab/>
      </w:r>
      <w:r>
        <w:fldChar w:fldCharType="begin"/>
      </w:r>
      <w:r>
        <w:instrText xml:space="preserve"> PAGEREF _Toc32188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_Toc9614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_Toc9614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_Toc29011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_Toc29011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_Toc12679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_Toc12679 </w:instrText>
      </w:r>
      <w:r>
        <w:fldChar w:fldCharType="separate"/>
      </w:r>
      <w:r>
        <w:t>4</w:t>
      </w:r>
      <w:r>
        <w:fldChar w:fldCharType="end"/>
      </w:r>
      <w:r>
        <w:fldChar w:fldCharType="end"/>
      </w:r>
    </w:p>
    <w:p>
      <w:pPr>
        <w:pStyle w:val="8"/>
        <w:tabs>
          <w:tab w:val="right" w:leader="dot" w:pos="9746"/>
        </w:tabs>
      </w:pPr>
      <w:r>
        <w:fldChar w:fldCharType="begin"/>
      </w:r>
      <w:r>
        <w:instrText xml:space="preserve"> HYPERLINK \l _Toc32464 </w:instrText>
      </w:r>
      <w:r>
        <w:fldChar w:fldCharType="separate"/>
      </w:r>
      <w:r>
        <w:rPr>
          <w:rFonts w:hint="eastAsia" w:ascii="黑体" w:hAnsi="黑体" w:eastAsia="黑体" w:cs="黑体"/>
          <w:lang w:val="en-US" w:eastAsia="zh-CN"/>
        </w:rPr>
        <w:t>1.目的</w:t>
      </w:r>
      <w:r>
        <w:tab/>
      </w:r>
      <w:r>
        <w:fldChar w:fldCharType="begin"/>
      </w:r>
      <w:r>
        <w:instrText xml:space="preserve"> PAGEREF _Toc32464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_Toc17397 </w:instrText>
      </w:r>
      <w:r>
        <w:fldChar w:fldCharType="separate"/>
      </w:r>
      <w:r>
        <w:rPr>
          <w:rFonts w:hint="eastAsia" w:ascii="黑体" w:hAnsi="黑体" w:eastAsia="黑体" w:cs="黑体"/>
          <w:lang w:val="en-US" w:eastAsia="zh-CN"/>
        </w:rPr>
        <w:t>1.1背景</w:t>
      </w:r>
      <w:r>
        <w:tab/>
      </w:r>
      <w:r>
        <w:fldChar w:fldCharType="begin"/>
      </w:r>
      <w:r>
        <w:instrText xml:space="preserve"> PAGEREF _Toc17397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_Toc10619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_Toc10619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_Toc26170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_Toc26170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_Toc891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_Toc891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_Toc7914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_Toc7914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_Toc27131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_Toc27131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_Toc3041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_Toc3041 </w:instrText>
      </w:r>
      <w:r>
        <w:fldChar w:fldCharType="separate"/>
      </w:r>
      <w:r>
        <w:t>7</w:t>
      </w:r>
      <w:r>
        <w:fldChar w:fldCharType="end"/>
      </w:r>
      <w:r>
        <w:fldChar w:fldCharType="end"/>
      </w:r>
    </w:p>
    <w:p>
      <w:pPr>
        <w:pStyle w:val="6"/>
        <w:tabs>
          <w:tab w:val="right" w:leader="dot" w:pos="9746"/>
        </w:tabs>
      </w:pPr>
      <w:r>
        <w:fldChar w:fldCharType="begin"/>
      </w:r>
      <w:r>
        <w:instrText xml:space="preserve"> HYPERLINK \l _Toc19283 </w:instrText>
      </w:r>
      <w:r>
        <w:fldChar w:fldCharType="separate"/>
      </w:r>
      <w:r>
        <w:rPr>
          <w:rFonts w:hint="eastAsia" w:ascii="黑体" w:hAnsi="黑体" w:eastAsia="黑体" w:cs="黑体"/>
          <w:szCs w:val="30"/>
          <w:lang w:val="en-US" w:eastAsia="zh-CN"/>
        </w:rPr>
        <w:t>3.2.1兼容XP系统41版本chrome浏览器</w:t>
      </w:r>
      <w:r>
        <w:tab/>
      </w:r>
      <w:r>
        <w:fldChar w:fldCharType="begin"/>
      </w:r>
      <w:r>
        <w:instrText xml:space="preserve"> PAGEREF _Toc19283 </w:instrText>
      </w:r>
      <w:r>
        <w:fldChar w:fldCharType="separate"/>
      </w:r>
      <w:r>
        <w:t>7</w:t>
      </w:r>
      <w:r>
        <w:fldChar w:fldCharType="end"/>
      </w:r>
      <w:r>
        <w:fldChar w:fldCharType="end"/>
      </w:r>
    </w:p>
    <w:p>
      <w:pPr>
        <w:pStyle w:val="9"/>
        <w:tabs>
          <w:tab w:val="right" w:leader="dot" w:pos="9746"/>
        </w:tabs>
      </w:pPr>
      <w:r>
        <w:fldChar w:fldCharType="begin"/>
      </w:r>
      <w:r>
        <w:instrText xml:space="preserve"> HYPERLINK \l _Toc21052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_Toc21052 </w:instrText>
      </w:r>
      <w:r>
        <w:fldChar w:fldCharType="separate"/>
      </w:r>
      <w:r>
        <w:t>7</w:t>
      </w:r>
      <w:r>
        <w:fldChar w:fldCharType="end"/>
      </w:r>
      <w:r>
        <w:fldChar w:fldCharType="end"/>
      </w:r>
    </w:p>
    <w:p>
      <w:pPr>
        <w:pStyle w:val="9"/>
        <w:tabs>
          <w:tab w:val="right" w:leader="dot" w:pos="9746"/>
        </w:tabs>
      </w:pPr>
      <w:r>
        <w:fldChar w:fldCharType="begin"/>
      </w:r>
      <w:r>
        <w:instrText xml:space="preserve"> HYPERLINK \l _Toc4019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_Toc4019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_Toc15082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_Toc15082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_Toc16350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_Toc16350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_Toc18669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_Toc18669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_Toc8943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_Toc8943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_Toc16008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_Toc16008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_Toc4945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_Toc4945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_Toc28902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_Toc28902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_Toc3140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_Toc3140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_Toc1542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_Toc1542 </w:instrText>
      </w:r>
      <w:r>
        <w:fldChar w:fldCharType="separate"/>
      </w:r>
      <w:r>
        <w:t>10</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17589"/>
      <w:bookmarkStart w:id="13" w:name="_Toc23227"/>
      <w:bookmarkStart w:id="14" w:name="_Toc26893"/>
      <w:bookmarkStart w:id="15" w:name="_Toc12679"/>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2143"/>
      <w:bookmarkStart w:id="19" w:name="_Toc31429"/>
      <w:bookmarkStart w:id="20" w:name="_Toc15886"/>
      <w:bookmarkStart w:id="21" w:name="_Toc32464"/>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5502"/>
      <w:bookmarkStart w:id="23" w:name="_Toc15109"/>
      <w:bookmarkStart w:id="24" w:name="_Toc17397"/>
      <w:bookmarkStart w:id="25" w:name="_Toc19106"/>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V2.17的迭代需求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10609"/>
      <w:bookmarkStart w:id="27" w:name="_Toc29668"/>
      <w:bookmarkStart w:id="28" w:name="_Toc20322"/>
      <w:bookmarkStart w:id="29" w:name="_Toc10619"/>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0744"/>
      <w:bookmarkStart w:id="32" w:name="_Toc18131"/>
      <w:bookmarkStart w:id="33" w:name="_Toc26170"/>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10993"/>
      <w:bookmarkStart w:id="36" w:name="_Toc891"/>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车辆模糊匹配功能流程图</w:t>
      </w:r>
    </w:p>
    <w:p>
      <w:pPr>
        <w:rPr>
          <w:rFonts w:hint="eastAsia"/>
          <w:lang w:val="en-US" w:eastAsia="zh-CN"/>
        </w:rPr>
      </w:pPr>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7440" cy="3272155"/>
            <wp:effectExtent l="0" t="0" r="10160" b="4445"/>
            <wp:docPr id="10" name="图片 10"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车牌模糊匹配功能 副本"/>
                    <pic:cNvPicPr>
                      <a:picLocks noChangeAspect="1"/>
                    </pic:cNvPicPr>
                  </pic:nvPicPr>
                  <pic:blipFill>
                    <a:blip r:embed="rId5"/>
                    <a:stretch>
                      <a:fillRect/>
                    </a:stretch>
                  </pic:blipFill>
                  <pic:spPr>
                    <a:xfrm>
                      <a:off x="0" y="0"/>
                      <a:ext cx="6187440" cy="3272155"/>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7914"/>
      <w:bookmarkStart w:id="38" w:name="_Toc27684"/>
      <w:bookmarkStart w:id="39" w:name="_Toc16460"/>
      <w:bookmarkStart w:id="40" w:name="_Toc13346"/>
      <w:r>
        <w:rPr>
          <w:rFonts w:hint="eastAsia" w:ascii="黑体" w:hAnsi="黑体" w:eastAsia="黑体" w:cs="黑体"/>
          <w:szCs w:val="22"/>
          <w:lang w:val="en-US" w:eastAsia="zh-CN"/>
        </w:rPr>
        <w:t>3.具体需求内容</w:t>
      </w:r>
      <w:bookmarkEnd w:id="37"/>
      <w:bookmarkEnd w:id="38"/>
      <w:bookmarkEnd w:id="39"/>
      <w:bookmarkEnd w:id="4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1" w:name="_Toc2749"/>
      <w:bookmarkStart w:id="42" w:name="_Toc12815"/>
      <w:bookmarkStart w:id="43" w:name="_Toc26890"/>
      <w:bookmarkStart w:id="44" w:name="_Toc27131"/>
      <w:r>
        <w:rPr>
          <w:rFonts w:hint="eastAsia" w:ascii="黑体" w:hAnsi="黑体" w:eastAsia="黑体" w:cs="黑体"/>
          <w:szCs w:val="22"/>
          <w:lang w:val="en-US" w:eastAsia="zh-CN"/>
        </w:rPr>
        <w:t>3.1总体功能点</w:t>
      </w:r>
      <w:bookmarkEnd w:id="41"/>
      <w:bookmarkEnd w:id="42"/>
      <w:bookmarkEnd w:id="43"/>
      <w:bookmarkEnd w:id="44"/>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53150" cy="5099050"/>
            <wp:effectExtent l="0" t="0" r="6350" b="6350"/>
            <wp:docPr id="2" name="图片 2" descr="VEMS V2.17 版本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EMS V2.17 版本规划"/>
                    <pic:cNvPicPr>
                      <a:picLocks noChangeAspect="1"/>
                    </pic:cNvPicPr>
                  </pic:nvPicPr>
                  <pic:blipFill>
                    <a:blip r:embed="rId6"/>
                    <a:stretch>
                      <a:fillRect/>
                    </a:stretch>
                  </pic:blipFill>
                  <pic:spPr>
                    <a:xfrm>
                      <a:off x="0" y="0"/>
                      <a:ext cx="6153150" cy="50990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3212"/>
      <w:bookmarkStart w:id="46" w:name="_Toc3041"/>
      <w:bookmarkStart w:id="47" w:name="_Toc28457"/>
      <w:r>
        <w:rPr>
          <w:rFonts w:hint="eastAsia" w:ascii="黑体" w:hAnsi="黑体" w:eastAsia="黑体" w:cs="黑体"/>
          <w:szCs w:val="22"/>
          <w:lang w:val="en-US" w:eastAsia="zh-CN"/>
        </w:rPr>
        <w:t>3.2功能点描述</w:t>
      </w:r>
      <w:bookmarkEnd w:id="45"/>
      <w:bookmarkEnd w:id="46"/>
      <w:bookmarkEnd w:id="47"/>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8" w:name="_Toc516"/>
      <w:bookmarkStart w:id="49" w:name="_Toc28219"/>
      <w:bookmarkStart w:id="50" w:name="_Toc19283"/>
      <w:r>
        <w:rPr>
          <w:rFonts w:hint="eastAsia" w:ascii="黑体" w:hAnsi="黑体" w:eastAsia="黑体" w:cs="黑体"/>
          <w:sz w:val="30"/>
          <w:szCs w:val="30"/>
          <w:lang w:val="en-US" w:eastAsia="zh-CN"/>
        </w:rPr>
        <w:t>3.2.1</w:t>
      </w:r>
      <w:bookmarkEnd w:id="48"/>
      <w:bookmarkEnd w:id="49"/>
      <w:bookmarkEnd w:id="50"/>
      <w:r>
        <w:rPr>
          <w:rFonts w:hint="eastAsia" w:ascii="黑体" w:hAnsi="黑体" w:eastAsia="黑体" w:cs="黑体"/>
          <w:sz w:val="30"/>
          <w:szCs w:val="30"/>
          <w:lang w:val="en-US" w:eastAsia="zh-CN"/>
        </w:rPr>
        <w:t>停车费用分解支付，临停支持部分缴费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21052"/>
      <w:bookmarkStart w:id="52"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1"/>
      <w:bookmarkEnd w:id="5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当车辆进行缴费操作后，不论有没有交够费用都将直接放行，不支持分解支付。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1、停车费用可分解支付，临停支持部分缴费。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2、平台支持商户给客户发放一定面值的停车优惠卷。当商家及客户使用优惠卷时，平台调用“临停缴费成功（高优先级）”接口来冲抵部分应缴停车费。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（1）下发金额 &gt;= 实际应缴金额，缴费成功，容许出场；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（2）下发金额 &lt; 实际应缴金额，用户在补缴金额 （实际应缴金额 - 下发金额）后才能出场，调用“临停缴费查询（高优先级）”接口 ，返回的临停应付金额是补缴金额。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3、岗亭端和中央监控页面中，</w:t>
      </w:r>
      <w:r>
        <w:rPr>
          <w:rFonts w:hint="eastAsia" w:ascii="黑体" w:hAnsi="黑体" w:eastAsia="黑体" w:cs="黑体"/>
          <w:b w:val="0"/>
          <w:bCs w:val="0"/>
          <w:color w:val="FF0000"/>
          <w:sz w:val="21"/>
          <w:szCs w:val="21"/>
          <w:lang w:val="en-US" w:eastAsia="zh-CN"/>
        </w:rPr>
        <w:t>下发金额归为已交费用</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补缴金额归为应付金额、应交费用</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3" w:name="_Toc4019"/>
      <w:bookmarkStart w:id="54" w:name="_Toc188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3"/>
      <w:bookmarkEnd w:id="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0455" cy="2893695"/>
            <wp:effectExtent l="0" t="0" r="4445" b="1905"/>
            <wp:docPr id="1" name="图片 1" descr="停车费用分解支付，临停支持部分缴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停车费用分解支付，临停支持部分缴费1"/>
                    <pic:cNvPicPr>
                      <a:picLocks noChangeAspect="1"/>
                    </pic:cNvPicPr>
                  </pic:nvPicPr>
                  <pic:blipFill>
                    <a:blip r:embed="rId7"/>
                    <a:stretch>
                      <a:fillRect/>
                    </a:stretch>
                  </pic:blipFill>
                  <pic:spPr>
                    <a:xfrm>
                      <a:off x="0" y="0"/>
                      <a:ext cx="618045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0455" cy="2893695"/>
            <wp:effectExtent l="0" t="0" r="4445" b="1905"/>
            <wp:docPr id="3" name="图片 3" descr="停车费用分解支付，临停支持部分缴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停车费用分解支付，临停支持部分缴费2"/>
                    <pic:cNvPicPr>
                      <a:picLocks noChangeAspect="1"/>
                    </pic:cNvPicPr>
                  </pic:nvPicPr>
                  <pic:blipFill>
                    <a:blip r:embed="rId8"/>
                    <a:stretch>
                      <a:fillRect/>
                    </a:stretch>
                  </pic:blipFill>
                  <pic:spPr>
                    <a:xfrm>
                      <a:off x="0" y="0"/>
                      <a:ext cx="6180455" cy="28936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5" w:name="_Toc17752"/>
      <w:bookmarkStart w:id="56" w:name="_Toc1508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5"/>
      <w:bookmarkEnd w:id="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7" w:name="_Toc19670"/>
      <w:bookmarkStart w:id="58" w:name="_Toc1635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7"/>
      <w:bookmarkEnd w:id="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6875"/>
      <w:bookmarkStart w:id="60" w:name="_Toc1866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59"/>
      <w:bookmarkEnd w:id="6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3.2.2支持多位多车的版本，获取月卡数据增加车位数信息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彩生活需求：支持多位多车版本，获取月卡信息接口增加Numbers-车位数字段。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5228590" cy="4914265"/>
            <wp:effectExtent l="0" t="0" r="3810" b="635"/>
            <wp:docPr id="6" name="图片 6" descr="支持多位多车版本，获取月卡信息接口增加numbers-车位数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支持多位多车版本，获取月卡信息接口增加numbers-车位数字段"/>
                    <pic:cNvPicPr>
                      <a:picLocks noChangeAspect="1"/>
                    </pic:cNvPicPr>
                  </pic:nvPicPr>
                  <pic:blipFill>
                    <a:blip r:embed="rId9"/>
                    <a:stretch>
                      <a:fillRect/>
                    </a:stretch>
                  </pic:blipFill>
                  <pic:spPr>
                    <a:xfrm>
                      <a:off x="0" y="0"/>
                      <a:ext cx="5228590" cy="4914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3.2.3车辆锁车后收费员页面需要增加提示且不可放行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车主锁车后，岗亭端没有锁车提示，且可以由收费员手动开闸放出场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（1）车辆处于锁定状态下出场，不可开闸放行，岗亭端需要进行车辆锁定状态提示（车辆已锁定！）和弹窗提示（此车已锁定，请确认车辆解锁后再放行出场）。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（2）“确认放行”的按钮不可用，点击“异常放行”必须填写异常放行原因才可以执行异常放行操作。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3630" cy="2896235"/>
            <wp:effectExtent l="0" t="0" r="1270" b="12065"/>
            <wp:docPr id="8" name="图片 8" descr="车辆锁车后收费员页面需要增加提示且不可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车辆锁车后收费员页面需要增加提示且不可放行"/>
                    <pic:cNvPicPr>
                      <a:picLocks noChangeAspect="1"/>
                    </pic:cNvPicPr>
                  </pic:nvPicPr>
                  <pic:blipFill>
                    <a:blip r:embed="rId10"/>
                    <a:stretch>
                      <a:fillRect/>
                    </a:stretch>
                  </pic:blipFill>
                  <pic:spPr>
                    <a:xfrm>
                      <a:off x="0" y="0"/>
                      <a:ext cx="6183630" cy="28962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3.2.4增加根据身份证号和姓名获取车主信息的对外接口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3.2.5增加根据身份证号和姓名获取车主信息的对外接口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3.2.6一体机日志机制的优化</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当前一体机的日志机制是会定期将所有日志清掉，不利于出现问题时通过日志查找原因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优化一体机的日志机制，定期向管理端上报日志流水，存入管理端数据库。</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3.2.7车牌的模糊匹配功能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出场触发抓拍未匹配到进场记录时，将在“在场车辆”中自动搜寻与该车牌相差一位的进场记录，如果刚好匹配到一辆相差一位的车辆，则自动匹配，车牌号码取置信度高的记录。如果匹配到超过两辆及两辆以上的车辆，则系统不进行干干预处理，直接进入到原来未匹配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（3）出场未匹配进场记录时，提示未匹配，按原来的算法规则列出与识别车牌号码三位及以上相同的进场记录，由收费员手动匹配或校正。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停车场管理-车场配置模块中，将原来的“是否开启模糊车牌匹配”配置项改为“是否开启模糊匹配”，下拉框选项内容包括“系统自动匹配自动放行、系统自动匹配人工干预、关闭模糊匹配”三个选项，默认显示“关闭模糊匹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（2）在“是否开启模糊匹配”增加？按钮，点击？弹出弹窗，弹窗释意内容为：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1"/>
          <w:szCs w:val="21"/>
          <w:lang w:val="en-US" w:eastAsia="zh-CN"/>
        </w:rPr>
        <w:t>模糊匹配</w:t>
      </w:r>
      <w:r>
        <w:rPr>
          <w:rFonts w:hint="eastAsia" w:ascii="黑体" w:hAnsi="黑体" w:eastAsia="黑体" w:cs="黑体"/>
          <w:b w:val="0"/>
          <w:bCs w:val="0"/>
          <w:sz w:val="21"/>
          <w:szCs w:val="21"/>
          <w:lang w:val="en-US" w:eastAsia="zh-CN"/>
        </w:rPr>
        <w:t>：车辆出场未匹配进场记录时，一体机将判断出场车牌是否为已添加的模糊匹配车牌，若是则执行模糊车牌匹配流程，若否将向管理端查询与出场车牌相差一位的进场记录。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1"/>
          <w:szCs w:val="21"/>
          <w:lang w:val="en-US" w:eastAsia="zh-CN"/>
        </w:rPr>
        <w:t>系统自动匹配自动放行</w:t>
      </w:r>
      <w:r>
        <w:rPr>
          <w:rFonts w:hint="eastAsia" w:ascii="黑体" w:hAnsi="黑体" w:eastAsia="黑体" w:cs="黑体"/>
          <w:b w:val="0"/>
          <w:bCs w:val="0"/>
          <w:sz w:val="21"/>
          <w:szCs w:val="21"/>
          <w:lang w:val="en-US" w:eastAsia="zh-CN"/>
        </w:rPr>
        <w:t>：能且只能找到一条符合条件的进场记录时，将按置信度高低自动匹配自动放行；</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1"/>
          <w:szCs w:val="21"/>
          <w:lang w:val="en-US" w:eastAsia="zh-CN"/>
        </w:rPr>
        <w:t>系统自动匹配人工干预</w:t>
      </w:r>
      <w:r>
        <w:rPr>
          <w:rFonts w:hint="eastAsia" w:ascii="黑体" w:hAnsi="黑体" w:eastAsia="黑体" w:cs="黑体"/>
          <w:b w:val="0"/>
          <w:bCs w:val="0"/>
          <w:sz w:val="21"/>
          <w:szCs w:val="21"/>
          <w:lang w:val="en-US" w:eastAsia="zh-CN"/>
        </w:rPr>
        <w:t>：能且只能找到一条符合条件的进场记录后，若匹配车牌身份一致则自动匹配自动放行；若匹配车牌身份不一致则维持未匹配记录。</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170" cy="2792095"/>
            <wp:effectExtent l="0" t="0" r="11430" b="1905"/>
            <wp:docPr id="11" name="图片 11" descr="车牌的模糊匹配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车牌的模糊匹配功能1"/>
                    <pic:cNvPicPr>
                      <a:picLocks noChangeAspect="1"/>
                    </pic:cNvPicPr>
                  </pic:nvPicPr>
                  <pic:blipFill>
                    <a:blip r:embed="rId11"/>
                    <a:stretch>
                      <a:fillRect/>
                    </a:stretch>
                  </pic:blipFill>
                  <pic:spPr>
                    <a:xfrm>
                      <a:off x="0" y="0"/>
                      <a:ext cx="6186170" cy="2792095"/>
                    </a:xfrm>
                    <a:prstGeom prst="rect">
                      <a:avLst/>
                    </a:prstGeom>
                  </pic:spPr>
                </pic:pic>
              </a:graphicData>
            </a:graphic>
          </wp:inline>
        </w:drawing>
      </w:r>
    </w:p>
    <w:p>
      <w:pPr>
        <w:numPr>
          <w:ilvl w:val="0"/>
          <w:numId w:val="0"/>
        </w:numPr>
        <w:tabs>
          <w:tab w:val="left" w:pos="2245"/>
        </w:tabs>
        <w:jc w:val="center"/>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（3）一体机执行自动匹配操作后需向管理端上报一条校正流水，校正类型为“模糊匹配”，在进出场管理-校正流水模块中，将原来的校正类型下拉框选项加上“模糊匹配”类型，操作员记为“system”。</w:t>
      </w:r>
    </w:p>
    <w:p>
      <w:pPr>
        <w:numPr>
          <w:ilvl w:val="0"/>
          <w:numId w:val="0"/>
        </w:numPr>
        <w:tabs>
          <w:tab w:val="left" w:pos="2245"/>
        </w:tabs>
        <w:rPr>
          <w:rFonts w:hint="eastAsia"/>
          <w:lang w:val="en-US" w:eastAsia="zh-CN"/>
        </w:rPr>
      </w:pPr>
      <w:r>
        <w:rPr>
          <w:rFonts w:hint="eastAsia"/>
          <w:lang w:val="en-US" w:eastAsia="zh-CN"/>
        </w:rPr>
        <w:drawing>
          <wp:inline distT="0" distB="0" distL="114300" distR="114300">
            <wp:extent cx="6179185" cy="2886710"/>
            <wp:effectExtent l="0" t="0" r="5715" b="8890"/>
            <wp:docPr id="12" name="图片 12" descr="车牌的模糊匹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车牌的模糊匹配功能2"/>
                    <pic:cNvPicPr>
                      <a:picLocks noChangeAspect="1"/>
                    </pic:cNvPicPr>
                  </pic:nvPicPr>
                  <pic:blipFill>
                    <a:blip r:embed="rId12"/>
                    <a:stretch>
                      <a:fillRect/>
                    </a:stretch>
                  </pic:blipFill>
                  <pic:spPr>
                    <a:xfrm>
                      <a:off x="0" y="0"/>
                      <a:ext cx="6179185" cy="288671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7440" cy="3272155"/>
            <wp:effectExtent l="0" t="0" r="10160" b="4445"/>
            <wp:docPr id="13" name="图片 13"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车牌模糊匹配功能 副本"/>
                    <pic:cNvPicPr>
                      <a:picLocks noChangeAspect="1"/>
                    </pic:cNvPicPr>
                  </pic:nvPicPr>
                  <pic:blipFill>
                    <a:blip r:embed="rId5"/>
                    <a:stretch>
                      <a:fillRect/>
                    </a:stretch>
                  </pic:blipFill>
                  <pic:spPr>
                    <a:xfrm>
                      <a:off x="0" y="0"/>
                      <a:ext cx="6187440" cy="32721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3.2.8盘点离场记录增加标记对应操作人员</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（1）进出场管理-异常进场表单中增加“操作员”字段，可查看触发异常进场的操作员；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触发类型分类自动触发、校正触发和盘点离场；自动触发的操作员记为system，校正触发的操作员记执行校正操作的用户名称（岗亭端/中央收费记当前登录的收费员名称、管理端记当前登录的用户名称），盘点离场的操作员记当前登录的用户名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805" cy="3641090"/>
            <wp:effectExtent l="0" t="0" r="10795" b="3810"/>
            <wp:docPr id="17" name="图片 17" descr="盘点离场记录增加标记对应操作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盘点离场记录增加标记对应操作人员"/>
                    <pic:cNvPicPr>
                      <a:picLocks noChangeAspect="1"/>
                    </pic:cNvPicPr>
                  </pic:nvPicPr>
                  <pic:blipFill>
                    <a:blip r:embed="rId13"/>
                    <a:stretch>
                      <a:fillRect/>
                    </a:stretch>
                  </pic:blipFill>
                  <pic:spPr>
                    <a:xfrm>
                      <a:off x="0" y="0"/>
                      <a:ext cx="6186805" cy="3641090"/>
                    </a:xfrm>
                    <a:prstGeom prst="rect">
                      <a:avLst/>
                    </a:prstGeom>
                  </pic:spPr>
                </pic:pic>
              </a:graphicData>
            </a:graphic>
          </wp:inline>
        </w:drawing>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3.2.9一体机配置-摄像机配置视频流地址可编辑</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一体机配置-摄像机配置中增加“视频流类型”和“视频流地址”两个配置项。视频流类型为下拉框控件，选项内容包括图片和视频流，默认显示图片；当视频视频流地址为输入框控件，由系统自动带入，可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（2）原“类型”字段改为“出入口类型”，选项内容为“未确认”“出口”“入口”。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p>
    <w:p>
      <w:pPr>
        <w:numPr>
          <w:ilvl w:val="0"/>
          <w:numId w:val="0"/>
        </w:numPr>
        <w:tabs>
          <w:tab w:val="left" w:pos="2245"/>
        </w:tabs>
        <w:jc w:val="center"/>
        <w:rPr>
          <w:rFonts w:hint="eastAsia"/>
          <w:lang w:val="en-US" w:eastAsia="zh-CN"/>
        </w:rPr>
      </w:pPr>
      <w:bookmarkStart w:id="104" w:name="_GoBack"/>
      <w:r>
        <w:rPr>
          <w:rFonts w:hint="eastAsia"/>
          <w:lang w:val="en-US" w:eastAsia="zh-CN"/>
        </w:rPr>
        <w:drawing>
          <wp:inline distT="0" distB="0" distL="114300" distR="114300">
            <wp:extent cx="6178550" cy="3738245"/>
            <wp:effectExtent l="0" t="0" r="6350" b="8255"/>
            <wp:docPr id="19" name="图片 19" descr="一体机配置-摄像机配置视频流地址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一体机配置-摄像机配置视频流地址可编辑"/>
                    <pic:cNvPicPr>
                      <a:picLocks noChangeAspect="1"/>
                    </pic:cNvPicPr>
                  </pic:nvPicPr>
                  <pic:blipFill>
                    <a:blip r:embed="rId14"/>
                    <a:stretch>
                      <a:fillRect/>
                    </a:stretch>
                  </pic:blipFill>
                  <pic:spPr>
                    <a:xfrm>
                      <a:off x="0" y="0"/>
                      <a:ext cx="6178550" cy="3738245"/>
                    </a:xfrm>
                    <a:prstGeom prst="rect">
                      <a:avLst/>
                    </a:prstGeom>
                  </pic:spPr>
                </pic:pic>
              </a:graphicData>
            </a:graphic>
          </wp:inline>
        </w:drawing>
      </w:r>
      <w:bookmarkEnd w:id="104"/>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61" w:name="_Toc32243"/>
      <w:bookmarkStart w:id="62" w:name="_Toc5080"/>
      <w:bookmarkStart w:id="63" w:name="_Toc8943"/>
      <w:bookmarkStart w:id="64" w:name="_Toc19556"/>
      <w:r>
        <w:rPr>
          <w:rFonts w:hint="eastAsia" w:ascii="黑体" w:hAnsi="黑体" w:eastAsia="黑体" w:cs="黑体"/>
          <w:szCs w:val="22"/>
          <w:lang w:val="en-US" w:eastAsia="zh-CN"/>
        </w:rPr>
        <w:t>4.非功能性需求</w:t>
      </w:r>
      <w:bookmarkEnd w:id="61"/>
      <w:bookmarkEnd w:id="62"/>
      <w:bookmarkEnd w:id="63"/>
      <w:bookmarkEnd w:id="64"/>
    </w:p>
    <w:tbl>
      <w:tblPr>
        <w:tblStyle w:val="12"/>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65" w:name="_Toc7429177"/>
            <w:bookmarkEnd w:id="65"/>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66" w:name="_Toc20296"/>
      <w:bookmarkEnd w:id="66"/>
      <w:bookmarkStart w:id="67" w:name="_Toc31005"/>
      <w:bookmarkEnd w:id="67"/>
      <w:bookmarkStart w:id="68" w:name="_Toc16300"/>
      <w:bookmarkEnd w:id="68"/>
      <w:bookmarkStart w:id="69"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70" w:name="_Toc16008"/>
      <w:bookmarkStart w:id="71" w:name="_Toc13821"/>
      <w:bookmarkStart w:id="72" w:name="_Toc10698"/>
      <w:bookmarkStart w:id="73" w:name="_Toc7736"/>
      <w:r>
        <w:rPr>
          <w:rFonts w:hint="eastAsia" w:ascii="黑体" w:hAnsi="黑体" w:eastAsia="黑体" w:cs="黑体"/>
          <w:szCs w:val="22"/>
          <w:lang w:val="en-US" w:eastAsia="zh-CN"/>
        </w:rPr>
        <w:t>5.外部接口说明</w:t>
      </w:r>
      <w:bookmarkEnd w:id="69"/>
      <w:bookmarkEnd w:id="70"/>
      <w:bookmarkEnd w:id="71"/>
      <w:bookmarkEnd w:id="72"/>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74" w:name="_Toc4050"/>
      <w:bookmarkEnd w:id="74"/>
      <w:bookmarkStart w:id="75" w:name="_Toc2018"/>
      <w:bookmarkEnd w:id="75"/>
      <w:bookmarkStart w:id="76" w:name="_Toc9737"/>
      <w:bookmarkEnd w:id="76"/>
      <w:bookmarkStart w:id="77" w:name="_Toc28063"/>
      <w:bookmarkStart w:id="78" w:name="_Toc2635"/>
      <w:bookmarkStart w:id="79" w:name="_Toc3907"/>
      <w:bookmarkStart w:id="80" w:name="_Toc1804"/>
      <w:bookmarkStart w:id="81" w:name="_Toc4945"/>
      <w:r>
        <w:rPr>
          <w:rFonts w:hint="eastAsia" w:ascii="黑体" w:hAnsi="黑体" w:eastAsia="黑体" w:cs="黑体"/>
          <w:szCs w:val="22"/>
          <w:lang w:val="en-US" w:eastAsia="zh-CN"/>
        </w:rPr>
        <w:t>6.附件</w:t>
      </w:r>
      <w:bookmarkEnd w:id="77"/>
      <w:bookmarkEnd w:id="78"/>
      <w:bookmarkEnd w:id="79"/>
      <w:bookmarkEnd w:id="80"/>
      <w:bookmarkEnd w:id="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2" w:name="_Toc8307"/>
      <w:bookmarkEnd w:id="82"/>
      <w:bookmarkStart w:id="83" w:name="_Toc7732"/>
      <w:bookmarkEnd w:id="83"/>
      <w:bookmarkStart w:id="84" w:name="_Toc12766"/>
      <w:bookmarkEnd w:id="84"/>
      <w:bookmarkStart w:id="85" w:name="_Toc28902"/>
      <w:bookmarkStart w:id="86" w:name="_Toc19341"/>
      <w:bookmarkStart w:id="87" w:name="_Toc4384"/>
      <w:bookmarkStart w:id="88" w:name="_Toc21233"/>
      <w:bookmarkStart w:id="89" w:name="_Toc23728"/>
      <w:r>
        <w:rPr>
          <w:rFonts w:hint="eastAsia" w:ascii="黑体" w:hAnsi="黑体" w:eastAsia="黑体" w:cs="黑体"/>
          <w:szCs w:val="22"/>
          <w:lang w:val="en-US" w:eastAsia="zh-CN"/>
        </w:rPr>
        <w:t>7.附录</w:t>
      </w:r>
      <w:bookmarkEnd w:id="85"/>
      <w:bookmarkEnd w:id="86"/>
      <w:bookmarkEnd w:id="87"/>
      <w:bookmarkEnd w:id="88"/>
      <w:bookmarkEnd w:id="89"/>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5562"/>
      <w:bookmarkEnd w:id="90"/>
      <w:bookmarkStart w:id="91" w:name="_Toc20160"/>
      <w:bookmarkEnd w:id="91"/>
      <w:bookmarkStart w:id="92" w:name="_Toc3140"/>
      <w:bookmarkStart w:id="93" w:name="_Toc18023"/>
      <w:bookmarkStart w:id="94" w:name="_Toc10464"/>
      <w:bookmarkStart w:id="95" w:name="_Toc22105"/>
      <w:bookmarkStart w:id="96"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92"/>
      <w:bookmarkEnd w:id="93"/>
      <w:bookmarkEnd w:id="94"/>
      <w:bookmarkEnd w:id="95"/>
      <w:bookmarkEnd w:id="96"/>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1779"/>
      <w:bookmarkEnd w:id="97"/>
      <w:bookmarkStart w:id="98" w:name="_Toc32744"/>
      <w:bookmarkEnd w:id="98"/>
      <w:bookmarkStart w:id="99" w:name="_Toc9981"/>
      <w:bookmarkStart w:id="100" w:name="_Toc2158"/>
      <w:bookmarkStart w:id="101" w:name="_Toc14509"/>
      <w:bookmarkStart w:id="102" w:name="_Toc1542"/>
      <w:bookmarkStart w:id="103" w:name="_Toc14972"/>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99"/>
      <w:bookmarkEnd w:id="100"/>
      <w:bookmarkEnd w:id="101"/>
      <w:bookmarkEnd w:id="102"/>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9FF3F2B"/>
    <w:multiLevelType w:val="singleLevel"/>
    <w:tmpl w:val="59FF3F2B"/>
    <w:lvl w:ilvl="0" w:tentative="0">
      <w:start w:val="2"/>
      <w:numFmt w:val="decimal"/>
      <w:lvlText w:val="%1."/>
      <w:lvlJc w:val="left"/>
      <w:pPr>
        <w:tabs>
          <w:tab w:val="left" w:pos="312"/>
        </w:tabs>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1C0D54"/>
    <w:rsid w:val="019F0E8D"/>
    <w:rsid w:val="01DF72F9"/>
    <w:rsid w:val="05976929"/>
    <w:rsid w:val="068C0382"/>
    <w:rsid w:val="09563661"/>
    <w:rsid w:val="0A9D308D"/>
    <w:rsid w:val="0C4F76C0"/>
    <w:rsid w:val="0D83542D"/>
    <w:rsid w:val="101C0D54"/>
    <w:rsid w:val="14BC0504"/>
    <w:rsid w:val="15354836"/>
    <w:rsid w:val="160A1D3D"/>
    <w:rsid w:val="23822C4F"/>
    <w:rsid w:val="2F643DDD"/>
    <w:rsid w:val="34656C3D"/>
    <w:rsid w:val="3A18497E"/>
    <w:rsid w:val="3D226533"/>
    <w:rsid w:val="3E400D20"/>
    <w:rsid w:val="3FF518C9"/>
    <w:rsid w:val="440E6C2C"/>
    <w:rsid w:val="45CA3662"/>
    <w:rsid w:val="4BCA0187"/>
    <w:rsid w:val="4CD77CA1"/>
    <w:rsid w:val="4F286FFD"/>
    <w:rsid w:val="527D4A56"/>
    <w:rsid w:val="55CA1FB5"/>
    <w:rsid w:val="55CA21C0"/>
    <w:rsid w:val="56524C19"/>
    <w:rsid w:val="5E606579"/>
    <w:rsid w:val="67A0238D"/>
    <w:rsid w:val="68AE5DDD"/>
    <w:rsid w:val="6A857758"/>
    <w:rsid w:val="6A951C8B"/>
    <w:rsid w:val="6ACF3596"/>
    <w:rsid w:val="6D535020"/>
    <w:rsid w:val="6F540AC7"/>
    <w:rsid w:val="6FA122B7"/>
    <w:rsid w:val="7004144E"/>
    <w:rsid w:val="746D116A"/>
    <w:rsid w:val="7A160DA2"/>
    <w:rsid w:val="7CAA1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2018-05-30T12:52:00Z</dcterms:created>
  <dc:creator>北北</dc:creator>
  <cp:lastModifiedBy>北北</cp:lastModifiedBy>
  <dcterms:modified xsi:type="dcterms:W3CDTF">2018-05-31T05:57:23Z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