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E64FB">
      <w:bookmarkStart w:id="31" w:name="_GoBack"/>
      <w:bookmarkEnd w:id="31"/>
      <w:r>
        <w:rPr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-455930</wp:posOffset>
                </wp:positionV>
                <wp:extent cx="1341120" cy="393700"/>
                <wp:effectExtent l="0" t="0" r="0" b="0"/>
                <wp:wrapNone/>
                <wp:docPr id="102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93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EAF8D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3F3F3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bCs w:val="0"/>
                                <w:color w:val="3F3F3F"/>
                                <w:sz w:val="18"/>
                                <w:szCs w:val="18"/>
                                <w:lang w:val="en-US" w:eastAsia="zh-CN"/>
                              </w:rPr>
                              <w:t>个人原创成果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" o:spid="_x0000_s1026" o:spt="1" style="position:absolute;left:0pt;margin-left:-69.4pt;margin-top:-35.9pt;height:31pt;width:105.6pt;z-index:251659264;mso-width-relative:page;mso-height-relative:page;" filled="f" stroked="f" coordsize="21600,21600" o:gfxdata="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lATiyNsAAAAKAQAADwAA&#10;AAAAAAABACAAAAAiAAAAZHJzL2Rvd25yZXYueG1sUEsBAhQAFAAAAAgAh07iQNm4paPaAQAAowMA&#10;AA4AAAAAAAAAAQAgAAAAKgEAAGRycy9lMm9Eb2MueG1sUEsFBgAAAAAGAAYAWQEAAH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DEAF8D">
                      <w:pPr>
                        <w:jc w:val="center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3F3F3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bCs w:val="0"/>
                          <w:color w:val="3F3F3F"/>
                          <w:sz w:val="18"/>
                          <w:szCs w:val="18"/>
                          <w:lang w:val="en-US" w:eastAsia="zh-CN"/>
                        </w:rPr>
                        <w:t>个人原创成果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195580</wp:posOffset>
                </wp:positionV>
                <wp:extent cx="6036945" cy="572770"/>
                <wp:effectExtent l="0" t="0" r="0" b="0"/>
                <wp:wrapNone/>
                <wp:docPr id="102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945" cy="5727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E0890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auto"/>
                              <w:jc w:val="center"/>
                              <w:textAlignment w:val="auto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3F3F3F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/>
                                <w:bCs/>
                                <w:color w:val="000000"/>
                                <w:spacing w:val="38"/>
                                <w:sz w:val="44"/>
                                <w:szCs w:val="44"/>
                                <w:lang w:val="en-US" w:eastAsia="zh-CN"/>
                              </w:rPr>
                              <w:t>中文轻量AI编程范式白皮书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0" o:spid="_x0000_s1026" o:spt="1" style="position:absolute;left:0pt;margin-left:-18.7pt;margin-top:15.4pt;height:45.1pt;width:475.35pt;z-index:251659264;mso-width-relative:page;mso-height-relative:page;" filled="f" stroked="f" coordsize="21600,21600" o:gfxdata="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cMz9g2wAAAAoBAAAPAAAA&#10;AAAAAAEAIAAAACIAAABkcnMvZG93bnJldi54bWxQSwECFAAUAAAACACHTuJAiOyvH9kBAACk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E0890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auto"/>
                        <w:jc w:val="center"/>
                        <w:textAlignment w:val="auto"/>
                        <w:rPr>
                          <w:rFonts w:hint="default" w:ascii="宋体" w:hAnsi="宋体" w:eastAsia="宋体" w:cs="宋体"/>
                          <w:b/>
                          <w:bCs/>
                          <w:color w:val="3F3F3F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/>
                          <w:bCs/>
                          <w:color w:val="000000"/>
                          <w:spacing w:val="38"/>
                          <w:sz w:val="44"/>
                          <w:szCs w:val="44"/>
                          <w:lang w:val="en-US" w:eastAsia="zh-CN"/>
                        </w:rPr>
                        <w:t>中文轻量AI编程范式白皮书</w:t>
                      </w:r>
                    </w:p>
                  </w:txbxContent>
                </v:textbox>
              </v:rect>
            </w:pict>
          </mc:Fallback>
        </mc:AlternateContent>
      </w:r>
    </w:p>
    <w:p w14:paraId="6F3A4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jc w:val="center"/>
        <w:textAlignment w:val="auto"/>
        <w:rPr>
          <w:rFonts w:hint="eastAsia"/>
          <w:b/>
          <w:bCs/>
          <w:sz w:val="36"/>
          <w:szCs w:val="40"/>
          <w:lang w:eastAsia="zh-CN"/>
        </w:rPr>
        <w:sectPr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1113155</wp:posOffset>
                </wp:positionV>
                <wp:extent cx="2388870" cy="621665"/>
                <wp:effectExtent l="0" t="0" r="3810" b="3175"/>
                <wp:wrapNone/>
                <wp:docPr id="10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A5E1C7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版本号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u w:val="dotted"/>
                                <w:lang w:val="en-US" w:eastAsia="zh-CN"/>
                              </w:rPr>
                              <w:t xml:space="preserve">   v1.01</w:t>
                            </w:r>
                          </w:p>
                          <w:p w14:paraId="3FB939E2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发布日期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sz w:val="24"/>
                                <w:szCs w:val="24"/>
                                <w:u w:val="dotted"/>
                                <w:lang w:val="en-US" w:eastAsia="zh-CN"/>
                              </w:rPr>
                              <w:t xml:space="preserve">   2026年3月8日</w:t>
                            </w:r>
                          </w:p>
                          <w:p w14:paraId="64BABFA5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</w:p>
                          <w:p w14:paraId="55326152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32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</w:p>
                          <w:p w14:paraId="4051126F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32"/>
                                <w:szCs w:val="32"/>
                                <w:u w:val="none"/>
                                <w:lang w:val="en-US" w:eastAsia="zh-CN"/>
                              </w:rPr>
                            </w:pPr>
                          </w:p>
                          <w:p w14:paraId="6ED39514">
                            <w:pPr>
                              <w:rPr>
                                <w:rFonts w:hint="eastAsia" w:ascii="楷体" w:hAnsi="楷体" w:eastAsia="楷体" w:cs="楷体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03.9pt;margin-top:87.65pt;height:48.95pt;width:188.1pt;z-index:251659264;mso-width-relative:page;mso-height-relative:page;" fillcolor="#FFFFFF" filled="t" stroked="f" coordsize="21600,21600" o:gfxdata="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HUeGa2QAAAAsBAAAPAAAAAAAAAAEAIAAAACIAAABkcnMvZG93bnJldi54bWxQSwECFAAU&#10;AAAACACHTuJAePzDPPABAADXAwAADgAAAAAAAAABACAAAAAoAQAAZHJzL2Uyb0RvYy54bWxQSwUG&#10;AAAAAAYABgBZAQAAi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1A5E1C7">
                      <w:pPr>
                        <w:jc w:val="left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版本号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u w:val="dotted"/>
                          <w:lang w:val="en-US" w:eastAsia="zh-CN"/>
                        </w:rPr>
                        <w:t xml:space="preserve">   v1.01</w:t>
                      </w:r>
                    </w:p>
                    <w:p w14:paraId="3FB939E2">
                      <w:pPr>
                        <w:jc w:val="left"/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发布日期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/>
                          <w:sz w:val="24"/>
                          <w:szCs w:val="24"/>
                          <w:u w:val="dotted"/>
                          <w:lang w:val="en-US" w:eastAsia="zh-CN"/>
                        </w:rPr>
                        <w:t xml:space="preserve">   2026年3月8日</w:t>
                      </w:r>
                    </w:p>
                    <w:p w14:paraId="64BABFA5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32"/>
                          <w:szCs w:val="32"/>
                          <w:u w:val="single"/>
                          <w:lang w:val="en-US" w:eastAsia="zh-CN"/>
                        </w:rPr>
                      </w:pPr>
                    </w:p>
                    <w:p w14:paraId="55326152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32"/>
                          <w:szCs w:val="32"/>
                          <w:u w:val="single"/>
                          <w:lang w:val="en-US" w:eastAsia="zh-CN"/>
                        </w:rPr>
                      </w:pPr>
                    </w:p>
                    <w:p w14:paraId="4051126F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32"/>
                          <w:szCs w:val="32"/>
                          <w:u w:val="none"/>
                          <w:lang w:val="en-US" w:eastAsia="zh-CN"/>
                        </w:rPr>
                      </w:pPr>
                    </w:p>
                    <w:p w14:paraId="6ED39514">
                      <w:pPr>
                        <w:rPr>
                          <w:rFonts w:hint="eastAsia" w:ascii="楷体" w:hAnsi="楷体" w:eastAsia="楷体" w:cs="楷体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7915910</wp:posOffset>
                </wp:positionV>
                <wp:extent cx="2278380" cy="1021080"/>
                <wp:effectExtent l="0" t="0" r="7620" b="0"/>
                <wp:wrapNone/>
                <wp:docPr id="102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38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C95428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sz w:val="30"/>
                                <w:szCs w:val="30"/>
                                <w:lang w:val="en-US" w:eastAsia="zh-CN"/>
                              </w:rPr>
                              <w:t>张金硕独立原创</w:t>
                            </w:r>
                          </w:p>
                          <w:p w14:paraId="13D9B1F6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本白皮书所有内容受著作权法保护，未经授权不得商用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4" o:spid="_x0000_s1026" o:spt="1" style="position:absolute;left:0pt;margin-left:124.25pt;margin-top:623.3pt;height:80.4pt;width:179.4pt;z-index:251659264;mso-width-relative:page;mso-height-relative:page;" fillcolor="#FFFFFF" filled="t" stroked="f" coordsize="21600,21600" o:gfxdata="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/7zIm2gAAAA0BAAAPAAAAAAAAAAEAIAAAACIAAABkcnMvZG93bnJldi54bWxQSwECFAAU&#10;AAAACACHTuJA00U07+8BAADYAwAADgAAAAAAAAABACAAAAApAQAAZHJzL2Uyb0RvYy54bWxQSwUG&#10;AAAAAAYABgBZAQAAi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2C95428">
                      <w:pPr>
                        <w:jc w:val="center"/>
                        <w:rPr>
                          <w:rFonts w:hint="eastAsia"/>
                          <w:b/>
                          <w:bCs/>
                          <w:color w:val="auto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auto"/>
                          <w:sz w:val="30"/>
                          <w:szCs w:val="30"/>
                          <w:lang w:val="en-US" w:eastAsia="zh-CN"/>
                        </w:rPr>
                        <w:t>张金硕独立原创</w:t>
                      </w:r>
                    </w:p>
                    <w:p w14:paraId="13D9B1F6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本白皮书所有内容受著作权法保护，未经授权不得商用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558165</wp:posOffset>
                </wp:positionV>
                <wp:extent cx="4394200" cy="845185"/>
                <wp:effectExtent l="0" t="0" r="0" b="0"/>
                <wp:wrapNone/>
                <wp:docPr id="103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8451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22AB1">
                            <w:pPr>
                              <w:jc w:val="both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White Paper on Chinese Lightweight AI Programming Paradigm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9" o:spid="_x0000_s1026" o:spt="1" style="position:absolute;left:0pt;margin-left:46.6pt;margin-top:43.95pt;height:66.55pt;width:346pt;z-index:251659264;mso-width-relative:page;mso-height-relative:page;" filled="f" stroked="f" coordsize="21600,21600" o:gfxdata="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5wHL/aAAAACQEAAA8AAAAA&#10;AAAAAQAgAAAAIgAAAGRycy9kb3ducmV2LnhtbFBLAQIUABQAAAAIAIdO4kC6g5fH2QEAAKMDAAAO&#10;AAAAAAAAAAEAIAAAACkBAABkcnMvZTJvRG9jLnhtbFBLBQYAAAAABgAGAFkBAAB0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D22AB1">
                      <w:pPr>
                        <w:jc w:val="both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bCs w:val="0"/>
                          <w:color w:val="000000"/>
                          <w:sz w:val="24"/>
                          <w:szCs w:val="24"/>
                          <w:lang w:val="en-US" w:eastAsia="zh-CN"/>
                        </w:rPr>
                        <w:t>White Paper on Chinese Lightweight AI Programming Paradigm</w:t>
                      </w:r>
                    </w:p>
                  </w:txbxContent>
                </v:textbox>
              </v:rect>
            </w:pict>
          </mc:Fallback>
        </mc:AlternateContent>
      </w:r>
    </w:p>
    <w:p w14:paraId="6CA3F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center"/>
        <w:textAlignment w:val="auto"/>
        <w:rPr>
          <w:rFonts w:hint="eastAsia"/>
          <w:b/>
          <w:bCs/>
          <w:sz w:val="36"/>
          <w:szCs w:val="40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原创声明</w:t>
      </w:r>
    </w:p>
    <w:p w14:paraId="1F311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白皮书提出的「中文轻量AI编程范式」为独立原创的完整技术体系，首次公开发布于2026年3月8日。所有内容、规则、设计均受《中华人民共和国著作权法》保护，任何个人或机构基于本体系进行研究、开发、传播，均需以显著方式注明原作者与来源；未经原作者书面授权，不得将本范式核心设计用于商业开发、运营与盈利活动。</w:t>
      </w:r>
    </w:p>
    <w:p w14:paraId="20EB5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jc w:val="both"/>
        <w:textAlignment w:val="auto"/>
        <w:rPr>
          <w:rFonts w:hint="eastAsia"/>
          <w:b/>
          <w:bCs/>
          <w:sz w:val="36"/>
          <w:szCs w:val="40"/>
          <w:lang w:eastAsia="zh-CN"/>
        </w:rPr>
      </w:pPr>
      <w:r>
        <w:rPr>
          <w:rFonts w:hint="eastAsia"/>
          <w:b/>
          <w:bCs/>
          <w:sz w:val="36"/>
          <w:szCs w:val="40"/>
          <w:lang w:eastAsia="zh-CN"/>
        </w:rPr>
        <w:t xml:space="preserve"> </w:t>
      </w:r>
    </w:p>
    <w:p w14:paraId="2691B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/>
          <w:bCs/>
          <w:sz w:val="36"/>
          <w:szCs w:val="40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免责声明</w:t>
      </w:r>
      <w:r>
        <w:rPr>
          <w:rFonts w:hint="eastAsia"/>
          <w:b/>
          <w:bCs/>
          <w:sz w:val="36"/>
          <w:szCs w:val="40"/>
          <w:lang w:eastAsia="zh-CN"/>
        </w:rPr>
        <w:t xml:space="preserve"> </w:t>
      </w:r>
    </w:p>
    <w:p w14:paraId="60B50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白皮书仅提供中文轻量AI编程范式的技术思路、核心规范与落地方向，不承诺终极产品形态，不保证所有场景下的绝对无错误执行。所有基于本范式的应用与开发，均需在国家法律法规、政策导向与社会公序良俗的框架内进行，原作者对非合规使用产生的后果不承担任何责任。</w:t>
      </w:r>
    </w:p>
    <w:p w14:paraId="02E3FB3D">
      <w:pPr>
        <w:spacing w:before="0" w:after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7534B1D0">
      <w:pPr>
        <w:pStyle w:val="4"/>
        <w:tabs>
          <w:tab w:val="right" w:leader="dot" w:pos="8306"/>
        </w:tabs>
      </w:pPr>
      <w:r>
        <w:rPr>
          <w:rFonts w:hint="eastAsia"/>
          <w:b/>
          <w:bCs/>
          <w:sz w:val="36"/>
          <w:szCs w:val="40"/>
          <w:lang w:eastAsia="zh-CN"/>
        </w:rPr>
        <w:fldChar w:fldCharType="begin"/>
      </w:r>
      <w:r>
        <w:rPr>
          <w:rFonts w:hint="eastAsia"/>
          <w:b/>
          <w:bCs/>
          <w:sz w:val="36"/>
          <w:szCs w:val="40"/>
          <w:lang w:eastAsia="zh-CN"/>
        </w:rPr>
        <w:instrText xml:space="preserve">TOC \o "1-3" \h \u </w:instrText>
      </w:r>
      <w:r>
        <w:rPr>
          <w:rFonts w:hint="eastAsia"/>
          <w:b/>
          <w:bCs/>
          <w:sz w:val="36"/>
          <w:szCs w:val="40"/>
          <w:lang w:eastAsia="zh-CN"/>
        </w:rPr>
        <w:fldChar w:fldCharType="separate"/>
      </w: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_Toc16027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bCs/>
          <w:szCs w:val="40"/>
          <w:lang w:eastAsia="zh-CN"/>
        </w:rPr>
        <w:t>中文轻量AI编程范式白皮书</w:t>
      </w:r>
      <w:r>
        <w:tab/>
      </w:r>
      <w:r>
        <w:fldChar w:fldCharType="begin"/>
      </w:r>
      <w:r>
        <w:instrText xml:space="preserve"> PAGEREF _Toc16027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D1813A2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_Toc16079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bCs/>
          <w:szCs w:val="28"/>
          <w:lang w:eastAsia="zh-CN"/>
        </w:rPr>
        <w:t>前言</w:t>
      </w:r>
      <w:r>
        <w:tab/>
      </w:r>
      <w:r>
        <w:fldChar w:fldCharType="begin"/>
      </w:r>
      <w:r>
        <w:instrText xml:space="preserve"> PAGEREF _Toc16079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1D601BF9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_Toc25260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bCs/>
          <w:szCs w:val="28"/>
          <w:lang w:eastAsia="zh-CN"/>
        </w:rPr>
        <w:t>第一章 核心设计理念</w:t>
      </w:r>
      <w:r>
        <w:tab/>
      </w:r>
      <w:r>
        <w:fldChar w:fldCharType="begin"/>
      </w:r>
      <w:r>
        <w:instrText xml:space="preserve"> PAGEREF _Toc25260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BD9B66D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_Toc29725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1.1 人话优先，意图即代码</w:t>
      </w:r>
      <w:r>
        <w:tab/>
      </w:r>
      <w:r>
        <w:fldChar w:fldCharType="begin"/>
      </w:r>
      <w:r>
        <w:instrText xml:space="preserve"> PAGEREF _Toc29725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78BB621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_Toc18783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1.2 人智解耦，各司其职</w:t>
      </w:r>
      <w:r>
        <w:tab/>
      </w:r>
      <w:r>
        <w:fldChar w:fldCharType="begin"/>
      </w:r>
      <w:r>
        <w:instrText xml:space="preserve"> PAGEREF _Toc18783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C17232D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_Toc27333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1.3 少歧低冗，兼容可扩展</w:t>
      </w:r>
      <w:r>
        <w:tab/>
      </w:r>
      <w:r>
        <w:fldChar w:fldCharType="begin"/>
      </w:r>
      <w:r>
        <w:instrText xml:space="preserve"> PAGEREF _Toc27333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F3F7A11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_Toc10559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bCs/>
          <w:szCs w:val="28"/>
          <w:lang w:eastAsia="zh-CN"/>
        </w:rPr>
        <w:t>第二章 范式核心规范</w:t>
      </w:r>
      <w:r>
        <w:tab/>
      </w:r>
      <w:r>
        <w:fldChar w:fldCharType="begin"/>
      </w:r>
      <w:r>
        <w:instrText xml:space="preserve"> PAGEREF _Toc10559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4D4D6932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_Toc13115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2.1 基础通用规则</w:t>
      </w:r>
      <w:r>
        <w:tab/>
      </w:r>
      <w:r>
        <w:fldChar w:fldCharType="begin"/>
      </w:r>
      <w:r>
        <w:instrText xml:space="preserve"> PAGEREF _Toc13115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47CC894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_Toc31929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2.2 四大核心数据容</w:t>
      </w:r>
      <w:r>
        <w:tab/>
      </w:r>
      <w:r>
        <w:fldChar w:fldCharType="begin"/>
      </w:r>
      <w:r>
        <w:instrText xml:space="preserve"> PAGEREF _Toc31929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B147074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_Toc731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2.3 核心操作指令规范</w:t>
      </w:r>
      <w:r>
        <w:tab/>
      </w:r>
      <w:r>
        <w:fldChar w:fldCharType="begin"/>
      </w:r>
      <w:r>
        <w:instrText xml:space="preserve"> PAGEREF _Toc731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499BE2E3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_Toc15827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2.3.1 命名规则</w:t>
      </w:r>
      <w:r>
        <w:tab/>
      </w:r>
      <w:r>
        <w:fldChar w:fldCharType="begin"/>
      </w:r>
      <w:r>
        <w:instrText xml:space="preserve"> PAGEREF _Toc15827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19ABC961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_Toc1346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2.3.2 核心操作：添值（数据新增）</w:t>
      </w:r>
      <w:r>
        <w:tab/>
      </w:r>
      <w:r>
        <w:fldChar w:fldCharType="begin"/>
      </w:r>
      <w:r>
        <w:instrText xml:space="preserve"> PAGEREF _Toc1346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D24C58B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_Toc25759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2.3.3 类型转换规则</w:t>
      </w:r>
      <w:r>
        <w:tab/>
      </w:r>
      <w:r>
        <w:fldChar w:fldCharType="begin"/>
      </w:r>
      <w:r>
        <w:instrText xml:space="preserve"> PAGEREF _Toc25759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4A0C9308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_Toc2431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2.4 循环与判断逻辑规范</w:t>
      </w:r>
      <w:r>
        <w:tab/>
      </w:r>
      <w:r>
        <w:fldChar w:fldCharType="begin"/>
      </w:r>
      <w:r>
        <w:instrText xml:space="preserve"> PAGEREF _Toc2431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C284DDD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_Toc26151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2.4.1 判断逻辑关键字</w:t>
      </w:r>
      <w:r>
        <w:tab/>
      </w:r>
      <w:r>
        <w:fldChar w:fldCharType="begin"/>
      </w:r>
      <w:r>
        <w:instrText xml:space="preserve"> PAGEREF _Toc26151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651CED07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_Toc29121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2.4.2 循环逻辑关键字</w:t>
      </w:r>
      <w:r>
        <w:tab/>
      </w:r>
      <w:r>
        <w:fldChar w:fldCharType="begin"/>
      </w:r>
      <w:r>
        <w:instrText xml:space="preserve"> PAGEREF _Toc29121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66161562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_Toc8175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第三章 完整可运行演示案例</w:t>
      </w:r>
      <w:r>
        <w:tab/>
      </w:r>
      <w:r>
        <w:fldChar w:fldCharType="begin"/>
      </w:r>
      <w:r>
        <w:instrText xml:space="preserve"> PAGEREF _Toc8175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F22BE72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_Toc16740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3.1 循环判断与数据操作综合案例</w:t>
      </w:r>
      <w:r>
        <w:tab/>
      </w:r>
      <w:r>
        <w:fldChar w:fldCharType="begin"/>
      </w:r>
      <w:r>
        <w:instrText xml:space="preserve"> PAGEREF _Toc16740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C6B1419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_Toc15416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第四章 核心创新与差异化优势</w:t>
      </w:r>
      <w:r>
        <w:tab/>
      </w:r>
      <w:r>
        <w:fldChar w:fldCharType="begin"/>
      </w:r>
      <w:r>
        <w:instrText xml:space="preserve"> PAGEREF _Toc15416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7F387233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_Toc17556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4.1 中文原生语义设计，而非简单关键字替换</w:t>
      </w:r>
      <w:r>
        <w:tab/>
      </w:r>
      <w:r>
        <w:fldChar w:fldCharType="begin"/>
      </w:r>
      <w:r>
        <w:instrText xml:space="preserve"> PAGEREF _Toc17556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CAFC4BF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_Toc15784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4.2 兼顾人与AI的理解成本，实现双向低门槛</w:t>
      </w:r>
      <w:r>
        <w:tab/>
      </w:r>
      <w:r>
        <w:fldChar w:fldCharType="begin"/>
      </w:r>
      <w:r>
        <w:instrText xml:space="preserve"> PAGEREF _Toc15784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8170F07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_Toc26080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4.3 人智解耦架构，兼顾易用性与执行效率</w:t>
      </w:r>
      <w:r>
        <w:tab/>
      </w:r>
      <w:r>
        <w:fldChar w:fldCharType="begin"/>
      </w:r>
      <w:r>
        <w:instrText xml:space="preserve"> PAGEREF _Toc26080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2CEBE36E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_Toc5393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4.4 开放兼容的生态设计，支持无限扩展</w:t>
      </w:r>
      <w:r>
        <w:tab/>
      </w:r>
      <w:r>
        <w:fldChar w:fldCharType="begin"/>
      </w:r>
      <w:r>
        <w:instrText xml:space="preserve"> PAGEREF _Toc5393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1D0F758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_Toc10598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4.5 合规可控的底层设计，适配国家数字治理需求</w:t>
      </w:r>
      <w:r>
        <w:tab/>
      </w:r>
      <w:r>
        <w:fldChar w:fldCharType="begin"/>
      </w:r>
      <w:r>
        <w:instrText xml:space="preserve"> PAGEREF _Toc10598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38B64E37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_Toc31322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第五章 可行性与价值推演</w:t>
      </w:r>
      <w:r>
        <w:tab/>
      </w:r>
      <w:r>
        <w:fldChar w:fldCharType="begin"/>
      </w:r>
      <w:r>
        <w:instrText xml:space="preserve"> PAGEREF _Toc31322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7CE6447D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_Toc17042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5.1 技术可行性</w:t>
      </w:r>
      <w:r>
        <w:tab/>
      </w:r>
      <w:r>
        <w:fldChar w:fldCharType="begin"/>
      </w:r>
      <w:r>
        <w:instrText xml:space="preserve"> PAGEREF _Toc17042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A7CFD64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_Toc18915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5.2 用户价值：让普通人成为数字创造者</w:t>
      </w:r>
      <w:r>
        <w:tab/>
      </w:r>
      <w:r>
        <w:fldChar w:fldCharType="begin"/>
      </w:r>
      <w:r>
        <w:instrText xml:space="preserve"> PAGEREF _Toc18915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170E2969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_Toc8309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5.3 行业与社会价值：推动数字技术普惠与生态升级</w:t>
      </w:r>
      <w:r>
        <w:tab/>
      </w:r>
      <w:r>
        <w:fldChar w:fldCharType="begin"/>
      </w:r>
      <w:r>
        <w:instrText xml:space="preserve"> PAGEREF _Toc8309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0B0BBD2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_Toc29147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5.3.1 行业价值：构建中文原生编程生态，推动行业分层发展</w:t>
      </w:r>
      <w:r>
        <w:tab/>
      </w:r>
      <w:r>
        <w:fldChar w:fldCharType="begin"/>
      </w:r>
      <w:r>
        <w:instrText xml:space="preserve"> PAGEREF _Toc29147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246ADCB4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_Toc28231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5.3.2 社会价值：释放全民创造力，推动生产力升级</w:t>
      </w:r>
      <w:r>
        <w:tab/>
      </w:r>
      <w:r>
        <w:fldChar w:fldCharType="begin"/>
      </w:r>
      <w:r>
        <w:instrText xml:space="preserve"> PAGEREF _Toc28231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F8C9314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_Toc5976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5.4 范式核心价值：补全人机交互的演化环节</w:t>
      </w:r>
      <w:r>
        <w:tab/>
      </w:r>
      <w:r>
        <w:fldChar w:fldCharType="begin"/>
      </w:r>
      <w:r>
        <w:instrText xml:space="preserve"> PAGEREF _Toc5976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4DC2DAE6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_Toc12437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5.5 国家安全与战略价值</w:t>
      </w:r>
      <w:r>
        <w:tab/>
      </w:r>
      <w:r>
        <w:fldChar w:fldCharType="begin"/>
      </w:r>
      <w:r>
        <w:instrText xml:space="preserve"> PAGEREF _Toc12437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15C62F48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_Toc6460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5.5.1 从根源管控国产AI生成风险，筑牢数字安全底线</w:t>
      </w:r>
      <w:r>
        <w:tab/>
      </w:r>
      <w:r>
        <w:fldChar w:fldCharType="begin"/>
      </w:r>
      <w:r>
        <w:instrText xml:space="preserve"> PAGEREF _Toc6460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578EDA3F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_Toc11550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5.5.2 整合国产AI生态，形成行业合力</w:t>
      </w:r>
      <w:r>
        <w:tab/>
      </w:r>
      <w:r>
        <w:fldChar w:fldCharType="begin"/>
      </w:r>
      <w:r>
        <w:instrText xml:space="preserve"> PAGEREF _Toc11550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6C8F5B5B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_Toc1829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5.5.3 构建以国有制为主体的数字基础设施，牢牢掌握数字主权</w:t>
      </w:r>
      <w:r>
        <w:tab/>
      </w:r>
      <w:r>
        <w:fldChar w:fldCharType="begin"/>
      </w:r>
      <w:r>
        <w:instrText xml:space="preserve"> PAGEREF _Toc1829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591D7E3">
      <w:pPr>
        <w:pStyle w:val="6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_Toc31352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5.5.4 提升中文数字话语权，构建全球AI生态壁垒</w:t>
      </w:r>
      <w:r>
        <w:tab/>
      </w:r>
      <w:r>
        <w:fldChar w:fldCharType="begin"/>
      </w:r>
      <w:r>
        <w:instrText xml:space="preserve"> PAGEREF _Toc31352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1229F453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_Toc5371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5.6 长远社会发展价值</w:t>
      </w:r>
      <w:r>
        <w:tab/>
      </w:r>
      <w:r>
        <w:fldChar w:fldCharType="begin"/>
      </w:r>
      <w:r>
        <w:instrText xml:space="preserve"> PAGEREF _Toc5371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755C832F">
      <w:pPr>
        <w:pStyle w:val="4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_Toc15851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第六章 生态与发展规划</w:t>
      </w:r>
      <w:r>
        <w:tab/>
      </w:r>
      <w:r>
        <w:fldChar w:fldCharType="begin"/>
      </w:r>
      <w:r>
        <w:instrText xml:space="preserve"> PAGEREF _Toc15851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2B6606D6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_Toc6111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6.1 短期规划（1-6个月）：夯实基础，开放核心</w:t>
      </w:r>
      <w:r>
        <w:tab/>
      </w:r>
      <w:r>
        <w:fldChar w:fldCharType="begin"/>
      </w:r>
      <w:r>
        <w:instrText xml:space="preserve"> PAGEREF _Toc6111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40F8D3A8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_Toc4396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6.2 中期规划（6-18个月）：拓展场景，培育生态</w:t>
      </w:r>
      <w:r>
        <w:tab/>
      </w:r>
      <w:r>
        <w:fldChar w:fldCharType="begin"/>
      </w:r>
      <w:r>
        <w:instrText xml:space="preserve"> PAGEREF _Toc4396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99CE2A9">
      <w:pPr>
        <w:pStyle w:val="5"/>
        <w:tabs>
          <w:tab w:val="right" w:leader="dot" w:pos="8306"/>
        </w:tabs>
      </w:pPr>
      <w:r>
        <w:rPr>
          <w:rFonts w:hint="eastAsia"/>
          <w:bCs/>
          <w:szCs w:val="40"/>
          <w:lang w:eastAsia="zh-CN"/>
        </w:rPr>
        <w:fldChar w:fldCharType="begin"/>
      </w:r>
      <w:r>
        <w:rPr>
          <w:rFonts w:hint="eastAsia"/>
          <w:bCs/>
          <w:szCs w:val="40"/>
          <w:lang w:eastAsia="zh-CN"/>
        </w:rPr>
        <w:instrText xml:space="preserve"> HYPERLINK \l _Toc16250 </w:instrText>
      </w:r>
      <w:r>
        <w:rPr>
          <w:rFonts w:hint="eastAsia"/>
          <w:bCs/>
          <w:szCs w:val="40"/>
          <w:lang w:eastAsia="zh-CN"/>
        </w:rPr>
        <w:fldChar w:fldCharType="separate"/>
      </w:r>
      <w:r>
        <w:rPr>
          <w:rFonts w:hint="eastAsia"/>
          <w:szCs w:val="28"/>
          <w:lang w:eastAsia="zh-CN"/>
        </w:rPr>
        <w:t>6.3 长期规划（18个月以上）：构建生态，全球推广</w:t>
      </w:r>
      <w:r>
        <w:tab/>
      </w:r>
      <w:r>
        <w:fldChar w:fldCharType="begin"/>
      </w:r>
      <w:r>
        <w:instrText xml:space="preserve"> PAGEREF _Toc16250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bCs/>
          <w:szCs w:val="40"/>
          <w:lang w:eastAsia="zh-CN"/>
        </w:rPr>
        <w:fldChar w:fldCharType="end"/>
      </w:r>
    </w:p>
    <w:p w14:paraId="0EA89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Calibri" w:hAnsi="Calibri" w:eastAsia="宋体" w:cs="Arial"/>
          <w:bCs/>
          <w:kern w:val="2"/>
          <w:sz w:val="21"/>
          <w:szCs w:val="40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/>
          <w:bCs/>
          <w:szCs w:val="40"/>
          <w:lang w:eastAsia="zh-CN"/>
        </w:rPr>
        <w:fldChar w:fldCharType="end"/>
      </w:r>
    </w:p>
    <w:p w14:paraId="292D5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jc w:val="center"/>
        <w:textAlignment w:val="auto"/>
        <w:outlineLvl w:val="0"/>
        <w:rPr>
          <w:rFonts w:hint="eastAsia"/>
          <w:b/>
          <w:bCs/>
          <w:sz w:val="36"/>
          <w:szCs w:val="40"/>
          <w:lang w:eastAsia="zh-CN"/>
        </w:rPr>
      </w:pPr>
      <w:bookmarkStart w:id="0" w:name="_Toc16027"/>
      <w:r>
        <w:rPr>
          <w:rFonts w:hint="eastAsia"/>
          <w:b/>
          <w:bCs/>
          <w:sz w:val="36"/>
          <w:szCs w:val="40"/>
          <w:lang w:eastAsia="zh-CN"/>
        </w:rPr>
        <w:t>中文轻量AI编程范式白皮书</w:t>
      </w:r>
      <w:bookmarkEnd w:id="0"/>
    </w:p>
    <w:p w14:paraId="99317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14DE4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版本号：V1.01</w:t>
      </w:r>
    </w:p>
    <w:p w14:paraId="203A5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发布日期：2026年3月8日</w:t>
      </w:r>
    </w:p>
    <w:p w14:paraId="CF153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原创声明：本白皮书所有内容、规则、设计均为独立原创，首次公开发布。任何基于本体系的研究、开发、传播，均需以显著方式注明来源与原作者。未经授权，不得将本范式核心设计用于商业开发与运营。</w:t>
      </w:r>
    </w:p>
    <w:p w14:paraId="0A97C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B206A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/>
          <w:sz w:val="24"/>
          <w:szCs w:val="28"/>
          <w:lang w:eastAsia="zh-CN"/>
        </w:rPr>
      </w:pPr>
      <w:bookmarkStart w:id="1" w:name="_Toc16079"/>
      <w:r>
        <w:rPr>
          <w:rFonts w:hint="eastAsia"/>
          <w:b/>
          <w:bCs/>
          <w:sz w:val="24"/>
          <w:szCs w:val="28"/>
          <w:lang w:eastAsia="zh-CN"/>
        </w:rPr>
        <w:t>前言</w:t>
      </w:r>
      <w:bookmarkEnd w:id="1"/>
    </w:p>
    <w:p w14:paraId="8C27F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人工智能技术的全面普及，让编程与自动化能力成为数字时代提升生产效率、释放个体创造力的核心工具。但当前普通个体参与数字创造的门槛仍居高不下，行业存在五大核心痛点，是制约全民数字创造力释放的核心因素之一：</w:t>
      </w:r>
    </w:p>
    <w:p w14:paraId="6B23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9EAFE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语言与思维壁垒：主流编程语言以英文为核心载体，非科班用户需记忆大量陌生英文关键字与语法符号，中文母语思维与编程逻辑存在天然割裂，难以快速适配；</w:t>
      </w:r>
    </w:p>
    <w:p w14:paraId="A94BF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学习成本居高不下：即便实现简单的自动化逻辑，也需掌握数据结构、语法规则、底层执行逻辑等专业知识，普通人往往需要数月系统学习才能入门，试错成本高；</w:t>
      </w:r>
    </w:p>
    <w:p w14:paraId="3AC94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AI执行稳定性缺失：基于通用大模型的自然语言编程，存在输出歧义、逻辑混乱、结果不可复现的核心缺陷，难以实现工业化可靠执行，仅能作为辅助工具，无法落地实际生产；</w:t>
      </w:r>
    </w:p>
    <w:p w14:paraId="13EB6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现有中文方案治标不治本：已有的中文编程产品，本质多为英文关键字的简单中文替换，未跳出传统编译型语言的底层逻辑，也未结合AI技术实现母语级自然交互，无法从根源降低创造门槛；</w:t>
      </w:r>
    </w:p>
    <w:p w14:paraId="03322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5. 人机交互的演化环节缺失：人类自然语言遵循“字词-语句-语法规范”的演化路径，实现了精准、高效、无歧义的信息传递。而当前AI自然语言交互，直接采用高度模糊、依赖语境的日常自然语言作为输入源，跳过了“自然表达→规范执行”的关键环节，缺少一层稳定、统一、可解释的形式化规范，导致人机交互从根源上不可控、不可工程化。 </w:t>
      </w:r>
    </w:p>
    <w:p w14:paraId="0416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同时，当前国产AI生态存在各自为战、生成内容合规风险不可控、AI交互标准不统一的问题，数字主权与中文数字话语权建设缺乏底层抓手，已成为AI时代国家数字战略落地的核心制约之一。</w:t>
      </w:r>
    </w:p>
    <w:p w14:paraId="C72E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基于此，本白皮书提出中文轻量AI编程范式（以下简称“本范式”），旨在构建一套以中文母语为核心、低歧义、高兼容、AI可稳定执行、合规可控的编程体系。本范式的核心目标分为两个维度：</w:t>
      </w:r>
    </w:p>
    <w:p w14:paraId="FAF58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3D302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民生维度：将数字创造的权利从少数专业开发者手中下放给每一个普通个体——无论是否懂英文、是否学过编程，都能用最熟悉的中文，写出可被AI稳定执行的逻辑，实现个性化创造需求（本范式并非零学习成本，而是以中文思维大幅降低学习门槛）；</w:t>
      </w:r>
    </w:p>
    <w:p w14:paraId="46B5F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战略维度：为国产AI生态提供统一的交互规范与合规底层，为国家数字治理、AI风险管控、中文数字话语权建设提供可落地的底层抓手，助力国家数字战略落地。</w:t>
      </w:r>
    </w:p>
    <w:p w14:paraId="55D1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不以替代传统专业编程语言为目标，而是聚焦“平民化数字创造”与“国产AI生态规范”两大核心场景，让深耕各行各业、洞悉真实需求的普通人，将自身痛点与创意转化为可执行的自动化工具，同时推动国产AI生态形成合力，真正释放全民数字创造力，筑牢国家数字安全底线。</w:t>
      </w:r>
    </w:p>
    <w:p w14:paraId="45EA7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8"/>
          <w:lang w:eastAsia="zh-CN"/>
        </w:rPr>
      </w:pPr>
    </w:p>
    <w:p w14:paraId="E3E1F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/>
          <w:b/>
          <w:bCs/>
          <w:sz w:val="24"/>
          <w:szCs w:val="28"/>
          <w:lang w:eastAsia="zh-CN"/>
        </w:rPr>
      </w:pPr>
      <w:bookmarkStart w:id="2" w:name="_Toc25260"/>
      <w:r>
        <w:rPr>
          <w:rFonts w:hint="eastAsia"/>
          <w:b/>
          <w:bCs/>
          <w:sz w:val="24"/>
          <w:szCs w:val="28"/>
          <w:lang w:eastAsia="zh-CN"/>
        </w:rPr>
        <w:t>第一章 核心设计理念</w:t>
      </w:r>
      <w:bookmarkEnd w:id="2"/>
    </w:p>
    <w:p w14:paraId="6FAD5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所有设计均围绕三大核心原则展开，针对性解决现有方案的底层痛点，从根源提升易用性、执行稳定性、生态兼容性与合规可控性，让中文母语者能以直觉化方式实现数字创造，同时适配国家数字治理的核心需求。</w:t>
      </w:r>
    </w:p>
    <w:p w14:paraId="4608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50F51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3" w:name="_Toc29725"/>
      <w:r>
        <w:rPr>
          <w:rFonts w:hint="eastAsia"/>
          <w:sz w:val="24"/>
          <w:szCs w:val="28"/>
          <w:lang w:eastAsia="zh-CN"/>
        </w:rPr>
        <w:t>1.1 人话优先，意图即代码</w:t>
      </w:r>
      <w:bookmarkEnd w:id="3"/>
    </w:p>
    <w:p w14:paraId="D0AC9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为V1.01初始版本，所有规则、关键字、语法均遵循现代汉语原生语义与表达习惯，摒弃无意义词汇与反直觉规则，让“谜语都在谜面上”。用户无需转换思维模式，只需具备基础的逻辑思考能力，清晰表达自身操作意图，即可写出可执行的范式指令。</w:t>
      </w:r>
    </w:p>
    <w:p w14:paraId="F818B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核心设计准则：最好的编程范式，是用户第一次看到，就能看懂核心逻辑。</w:t>
      </w:r>
    </w:p>
    <w:p w14:paraId="3C526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8C403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4" w:name="_Toc18783"/>
      <w:r>
        <w:rPr>
          <w:rFonts w:hint="eastAsia"/>
          <w:sz w:val="24"/>
          <w:szCs w:val="28"/>
          <w:lang w:eastAsia="zh-CN"/>
        </w:rPr>
        <w:t>1.2 人智解耦，各司其职</w:t>
      </w:r>
      <w:bookmarkEnd w:id="4"/>
    </w:p>
    <w:p w14:paraId="DE880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本范式采用“用户层-执行层”完全解耦的核心架构，让人与AI在各自擅长的领域发挥作用，既降低用户的表达成本，也让AI的执行更稳定、高效、可控：</w:t>
      </w:r>
    </w:p>
    <w:p w14:paraId="FB9BC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用户层：用户仅需负责清晰表达“我要做什么”，用极简的中文范式描述操作意图，无需关心底层技术实现、执行路径与效率优化；</w:t>
      </w:r>
    </w:p>
    <w:p w14:paraId="6CC1F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执行层：AI在范式固定规则内，负责将用户意图转化为可执行的底层逻辑，保证执行的准确性、稳定性与效率，无需处理模糊的自然语言歧义。</w:t>
      </w:r>
    </w:p>
    <w:p w14:paraId="C5104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这种解耦设计，让用户摆脱底层技术的束缚，同时将AI的理解难度降到合理范围，针对性解决通用大模型自然语言编程的执行不可控问题，也为AI生成内容的合规管控提供了底层基础。</w:t>
      </w:r>
    </w:p>
    <w:p w14:paraId="1B83E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31013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5" w:name="_Toc27333"/>
      <w:r>
        <w:rPr>
          <w:rFonts w:hint="eastAsia"/>
          <w:sz w:val="24"/>
          <w:szCs w:val="28"/>
          <w:lang w:eastAsia="zh-CN"/>
        </w:rPr>
        <w:t>1.3 少歧低冗，兼容可扩展</w:t>
      </w:r>
      <w:bookmarkEnd w:id="5"/>
    </w:p>
    <w:p w14:paraId="69FD1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本范式所有规则均遵循“必要原则”：精简关键字与规则体系，降低指令冗余度；每一条指令均明确定义核心语义，最大限度压缩歧义空间，让用户与AI对指令的理解保持高度统一。</w:t>
      </w:r>
    </w:p>
    <w:p w14:paraId="3A68F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同时，本范式采用模型友好型设计，可适配主流大模型与执行环境，尤其优先适配国产主流大模型，具备跨设备、跨软件、跨模型的基础兼容性；在不破坏核心规则、不突破合规底线的前提下，支持功能、场景、指令的无限扩展，为生态迭代与国家规范升级预留充足空间（本范式不保证绝对零错误，将通过社区反馈与合规校验持续优化）。</w:t>
      </w:r>
    </w:p>
    <w:p w14:paraId="7346C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D2F65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/>
          <w:b/>
          <w:bCs/>
          <w:sz w:val="24"/>
          <w:szCs w:val="28"/>
          <w:lang w:eastAsia="zh-CN"/>
        </w:rPr>
      </w:pPr>
      <w:bookmarkStart w:id="6" w:name="_Toc10559"/>
      <w:r>
        <w:rPr>
          <w:rFonts w:hint="eastAsia"/>
          <w:b/>
          <w:bCs/>
          <w:sz w:val="24"/>
          <w:szCs w:val="28"/>
          <w:lang w:eastAsia="zh-CN"/>
        </w:rPr>
        <w:t>第二章 范式核心规范</w:t>
      </w:r>
      <w:bookmarkEnd w:id="6"/>
    </w:p>
    <w:p w14:paraId="DEB76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本章节为范式的核心执行规则，是用户层指令被AI稳定识别、精准执行的基础，也是合规管控的核心底层框架。所有用户层操作指令，均需遵循本规范要求。</w:t>
      </w:r>
    </w:p>
    <w:p w14:paraId="2A066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67BF9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7" w:name="_Toc13115"/>
      <w:r>
        <w:rPr>
          <w:rFonts w:hint="eastAsia"/>
          <w:sz w:val="24"/>
          <w:szCs w:val="28"/>
          <w:lang w:eastAsia="zh-CN"/>
        </w:rPr>
        <w:t>2.1 基础通用规则</w:t>
      </w:r>
      <w:bookmarkEnd w:id="7"/>
    </w:p>
    <w:p w14:paraId="F1658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语言与符号规范：所有指令均使用简体中文，无任何英文关键字；优先采用通用英文符号（适配跨设备输入），AI可识别部分中文符号但不建议使用；变量名命名遵循Python命名规则（数字不开头、支持下划线_），不建议使用中文（避免与范式关键字冲突）；</w:t>
      </w:r>
    </w:p>
    <w:p w14:paraId="747EB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格式规范：一行一条核心指令，以回车区分不同逻辑模块，尽量减少缩进、大括号等复杂格式约束，降低输入与理解成本；</w:t>
      </w:r>
    </w:p>
    <w:p w14:paraId="6E09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计数规范：所有数据容器的下标从1开始，完全符合人类日常计数直觉，无需适应程序员的0开始计数规则；</w:t>
      </w:r>
    </w:p>
    <w:p w14:paraId="E1F47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注释规范：行首加「#」标注注释，AI将跳过注释内容，仅作为用户的逻辑说明与备注文本；</w:t>
      </w:r>
    </w:p>
    <w:p w14:paraId="131AA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5. 合规前置规范：所有指令均需符合国家法律法规、政策导向与社会公序良俗，范式内置合规校验底层逻辑，违规指令将不予执行并提示风险。</w:t>
      </w:r>
    </w:p>
    <w:p w14:paraId="62A35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 </w:t>
      </w:r>
    </w:p>
    <w:p w14:paraId="5DCA5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0"/>
        <w:rPr>
          <w:rFonts w:hint="eastAsia"/>
          <w:sz w:val="24"/>
          <w:szCs w:val="28"/>
          <w:lang w:eastAsia="zh-CN"/>
        </w:rPr>
      </w:pPr>
      <w:bookmarkStart w:id="8" w:name="_Toc15416"/>
      <w:r>
        <w:rPr>
          <w:rFonts w:hint="eastAsia"/>
          <w:sz w:val="24"/>
          <w:szCs w:val="28"/>
          <w:lang w:eastAsia="zh-CN"/>
        </w:rPr>
        <w:t>第四章 核心创新与差异化优势</w:t>
      </w:r>
      <w:bookmarkEnd w:id="8"/>
    </w:p>
    <w:p w14:paraId="B6977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本范式与现有中文编程、自然语言编程、低代码平台相比，具备五大核心原创创新，形成了无法被简单替代的差异化优势，针对性解决现有方案的底层痛点，同时适配国家数字战略的核心需求。</w:t>
      </w:r>
    </w:p>
    <w:p w14:paraId="21DAA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437E5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9" w:name="_Toc17556"/>
      <w:r>
        <w:rPr>
          <w:rFonts w:hint="eastAsia"/>
          <w:sz w:val="24"/>
          <w:szCs w:val="28"/>
          <w:lang w:eastAsia="zh-CN"/>
        </w:rPr>
        <w:t>4.1 中文原生语义设计，而非简单关键字替换</w:t>
      </w:r>
      <w:bookmarkEnd w:id="9"/>
    </w:p>
    <w:p w14:paraId="D3543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现有中文编程方案的核心逻辑，仍基于英文编程语言的框架，仅将英文关键字替换为中文，用户仍需用程序员的思维写代码，无法实现母语级自然表达。</w:t>
      </w:r>
    </w:p>
    <w:p w14:paraId="14322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本范式从底层出发，基于现代汉语的偏正结构、动宾结构设计所有规则与指令，关键字、语法完全贴合中文母语者的日常表达习惯，无需转换思维模式，真正实现“用说人话的方式写代码”。</w:t>
      </w:r>
    </w:p>
    <w:p w14:paraId="8F481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26644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0" w:name="_Toc15784"/>
      <w:r>
        <w:rPr>
          <w:rFonts w:hint="eastAsia"/>
          <w:sz w:val="24"/>
          <w:szCs w:val="28"/>
          <w:lang w:eastAsia="zh-CN"/>
        </w:rPr>
        <w:t>4.2 兼顾人与AI的理解成本，实现双向低门槛</w:t>
      </w:r>
      <w:bookmarkEnd w:id="10"/>
    </w:p>
    <w:p w14:paraId="5D63A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核心规则既符合中文的思考与表达习惯，用户无需记忆复杂术语与语法，通过直觉即可快速掌握核心用法，学习成本大幅降低；同时，固定的规则、句式与明确的语义，大幅降低AI的理解难度，最大限度减少自然语言歧义带来的执行偏差，执行准确率与稳定性大幅提升，针对性优化通用大模型自然语言编程的核心痛点。</w:t>
      </w:r>
    </w:p>
    <w:p w14:paraId="C923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5F887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1" w:name="_Toc26080"/>
      <w:r>
        <w:rPr>
          <w:rFonts w:hint="eastAsia"/>
          <w:sz w:val="24"/>
          <w:szCs w:val="28"/>
          <w:lang w:eastAsia="zh-CN"/>
        </w:rPr>
        <w:t>4.3 人智解耦架构，兼顾易用性与执行效率</w:t>
      </w:r>
      <w:bookmarkEnd w:id="11"/>
    </w:p>
    <w:p w14:paraId="6F8A7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现有方案始终存在“易用性与效率”的矛盾：传统编程语言牺牲易用性换执行效率，通用大模型编程牺牲效率换易用性，无法实现两者兼得。</w:t>
      </w:r>
    </w:p>
    <w:p w14:paraId="84E19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通过“用户层-执行层”的完全解耦，打破这一矛盾：用户层保持极简、直观、符合母语直觉的特性，让普通人能轻松表达意图；执行层由AI在固定规则内，将用户意图转化为最优的底层数据结构与执行路径，保证执行效率，不会因用户层的简单而损失性能。</w:t>
      </w:r>
    </w:p>
    <w:p w14:paraId="24BBA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0720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2" w:name="_Toc5393"/>
      <w:r>
        <w:rPr>
          <w:rFonts w:hint="eastAsia"/>
          <w:sz w:val="24"/>
          <w:szCs w:val="28"/>
          <w:lang w:eastAsia="zh-CN"/>
        </w:rPr>
        <w:t>4.4 开放兼容的生态设计，支持无限扩展</w:t>
      </w:r>
      <w:bookmarkEnd w:id="12"/>
    </w:p>
    <w:p w14:paraId="814DA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并非封闭的工具，而是一套开放的、可无限扩展的底层体系：新功能、新场景、新指令，只要符合“中文望文知义”的核心规则与国家合规要求，即可无缝融入范式体系，不会出现“只能做简单操作，无法适配复杂需求”的问题。</w:t>
      </w:r>
    </w:p>
    <w:p w14:paraId="A11BE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同时，本范式理论上可兼容大部分现有主流软件、API与功能库，可快速适配办公、教育、电商、医疗、工业等多行业场景需求，具备极强的实际落地能力；未来将通过社区共建，形成独立的范式生态，让市场与合规规范共同筛选更优的设计与功能。</w:t>
      </w:r>
    </w:p>
    <w:p w14:paraId="AD1B6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E36A6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3" w:name="_Toc10598"/>
      <w:r>
        <w:rPr>
          <w:rFonts w:hint="eastAsia"/>
          <w:sz w:val="24"/>
          <w:szCs w:val="28"/>
          <w:lang w:eastAsia="zh-CN"/>
        </w:rPr>
        <w:t>4.5 合规可控的底层设计，适配国家数字治理需求</w:t>
      </w:r>
      <w:bookmarkEnd w:id="13"/>
    </w:p>
    <w:p w14:paraId="BEC4C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现有自然语言AI交互模式，因无固定规则约束，存在生成内容歧义、违规言论、政治错误等核心风险，尤其国产AI模型因训练数据差异，易出现“数据喂偏导致生成错误内容”的问题，合规管控成本极高。</w:t>
      </w:r>
    </w:p>
    <w:p w14:paraId="976B5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本范式通过固定的规则体系、明确的语义边界、统一的执行标准，从底层解决这一痛点：</w:t>
      </w:r>
    </w:p>
    <w:p w14:paraId="55B52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压缩歧义空间：所有指令均有明确的核心语义与固定规则，AI无需自由解读自然语言，仅需在规则内执行，从根源降低生成偏差与违规风险；</w:t>
      </w:r>
    </w:p>
    <w:p w14:paraId="DDE77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前置合规校验：范式可内置统一的合规校验规则，所有指令与AI生成的执行逻辑，先经过合规校验再落地执行，实现“违规内容不出门”，大幅降低合规管控成本；</w:t>
      </w:r>
    </w:p>
    <w:p w14:paraId="7C1CB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统一执行标准：所有国产AI模型均可适配同一套范式规则，即便模型训练数据存在差异，也会被范式的固定规则拉回合规轨道，避免“各家模型标准不一、管控难度大”的问题，为国家AI治理提供可落地的底层抓手。</w:t>
      </w:r>
    </w:p>
    <w:p w14:paraId="7305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557F9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0"/>
        <w:rPr>
          <w:rFonts w:hint="eastAsia"/>
          <w:sz w:val="24"/>
          <w:szCs w:val="28"/>
          <w:lang w:eastAsia="zh-CN"/>
        </w:rPr>
      </w:pPr>
      <w:bookmarkStart w:id="14" w:name="_Toc31322"/>
      <w:r>
        <w:rPr>
          <w:rFonts w:hint="eastAsia"/>
          <w:sz w:val="24"/>
          <w:szCs w:val="28"/>
          <w:lang w:eastAsia="zh-CN"/>
        </w:rPr>
        <w:t>第五章 可行性与价值推演</w:t>
      </w:r>
      <w:bookmarkEnd w:id="14"/>
    </w:p>
    <w:p w14:paraId="1E61E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5" w:name="_Toc17042"/>
      <w:r>
        <w:rPr>
          <w:rFonts w:hint="eastAsia"/>
          <w:sz w:val="24"/>
          <w:szCs w:val="28"/>
          <w:lang w:eastAsia="zh-CN"/>
        </w:rPr>
        <w:t>5.1 技术可行性</w:t>
      </w:r>
      <w:bookmarkEnd w:id="15"/>
    </w:p>
    <w:p w14:paraId="F137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本范式的所有设计均基于现有成熟技术实现，无需任何突破性的黑科技，技术落地门槛低、可操作性强，适配性与可扩展性极强：</w:t>
      </w:r>
    </w:p>
    <w:p w14:paraId="6D6D1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固定规则的指令识别：可通过轻量大模型的专属微调实现，仅需少量样本即可让模型内化范式核心规则，实现稳定的指令识别与解析，尤其国产大模型可快速完成适配；</w:t>
      </w:r>
    </w:p>
    <w:p w14:paraId="A46D7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底层执行逻辑：可直接对接Python等主流执行环境，无需从零构建全新的编译器与运行时，大幅降低开发成本；</w:t>
      </w:r>
    </w:p>
    <w:p w14:paraId="FE2E4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跨设备与跨模型兼容：核心规则采用极简设计，具备良好的跨设备、跨模型适配性，兼容性落地难度较低；</w:t>
      </w:r>
    </w:p>
    <w:p w14:paraId="4AF37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合规校验体系：可基于现有内容安全技术，快速搭建适配范式规则的前置校验模块，技术成熟度高，可落地性强。</w:t>
      </w:r>
    </w:p>
    <w:p w14:paraId="682BF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6" w:name="_Toc18915"/>
      <w:r>
        <w:rPr>
          <w:rFonts w:hint="eastAsia"/>
          <w:sz w:val="24"/>
          <w:szCs w:val="28"/>
          <w:lang w:eastAsia="zh-CN"/>
        </w:rPr>
        <w:t>5.2 用户价值：让普通人成为数字创造者</w:t>
      </w:r>
      <w:bookmarkEnd w:id="16"/>
    </w:p>
    <w:p w14:paraId="BBF9E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本范式大幅降低了编程的专业门槛壁垒，让数字创造不再是专业开发者的专属权利，为不同群体创造个性化价值：</w:t>
      </w:r>
    </w:p>
    <w:p w14:paraId="48FD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职场人：可快速编写自动化办公脚本，替代表格统计、数据整理、重复操作等机械工作，大幅提升工作效率；</w:t>
      </w:r>
    </w:p>
    <w:p w14:paraId="DC2B8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行业从业者：可基于自身行业痛点，开发专属的自动化工具，将个人经验转化为可落地的数字解决方案；</w:t>
      </w:r>
    </w:p>
    <w:p w14:paraId="DBDB3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非科班用户（学生、老人、兴趣爱好者）：无需系统学习编程，用中文即可实现自己的创意与需求，真正成为数字时代的创造者，而非被动的技术使用者。</w:t>
      </w:r>
    </w:p>
    <w:p w14:paraId="75B79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17" w:name="_Toc8309"/>
      <w:r>
        <w:rPr>
          <w:rFonts w:hint="eastAsia"/>
          <w:sz w:val="24"/>
          <w:szCs w:val="28"/>
          <w:lang w:eastAsia="zh-CN"/>
        </w:rPr>
        <w:t>5.3 行业与社会价值：推动数字技术普惠与生态升级</w:t>
      </w:r>
      <w:bookmarkEnd w:id="17"/>
      <w:r>
        <w:rPr>
          <w:rFonts w:hint="eastAsia"/>
          <w:sz w:val="24"/>
          <w:szCs w:val="28"/>
          <w:lang w:eastAsia="zh-CN"/>
        </w:rPr>
        <w:t xml:space="preserve"> </w:t>
      </w:r>
    </w:p>
    <w:p w14:paraId="0E943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18" w:name="_Toc29147"/>
      <w:r>
        <w:rPr>
          <w:rFonts w:hint="eastAsia"/>
          <w:sz w:val="24"/>
          <w:szCs w:val="28"/>
          <w:lang w:eastAsia="zh-CN"/>
        </w:rPr>
        <w:t>5.3.1 行业价值：构建中文原生编程生态，推动行业分层发展</w:t>
      </w:r>
      <w:bookmarkEnd w:id="18"/>
    </w:p>
    <w:p w14:paraId="13133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本范式推动中文从“英文编程的附属品”，转变为AI时代的数字创造原生语言；中文的构词与语义逻辑，天然适配人机交互的结构化、可执行需求，具备显著的表达优势，可形成独特的中文编程生态壁垒。</w:t>
      </w:r>
    </w:p>
    <w:p w14:paraId="6960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同时，本范式并非与Python、C等传统主流编程语言竞争，而是成为**“编程学前班”**：让普通人以低门槛实现简单需求，当需求升级后，可无缝过渡到Python等专业语言，大幅降低专业编程的学习门槛，增加主流编程语言的学习人群，推动编程行业形成“简单需求→范式实现，复杂需求→专业语言”的良性分层。</w:t>
      </w:r>
    </w:p>
    <w:p w14:paraId="967DF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未来将催生**“范式翻译师”** 新职业：由中文与计算机交叉领域的从业者，将英文技术术语、功能库翻译为符合中文表达习惯、合规可控的范式指令，下放至市场生态由用户自由筛选，推动范式生态的持续丰富。</w:t>
      </w:r>
    </w:p>
    <w:p w14:paraId="CC86E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19" w:name="_Toc28231"/>
      <w:r>
        <w:rPr>
          <w:rFonts w:hint="eastAsia"/>
          <w:sz w:val="24"/>
          <w:szCs w:val="28"/>
          <w:lang w:eastAsia="zh-CN"/>
        </w:rPr>
        <w:t>5.3.2 社会价值：释放全民创造力，推动生产力升级</w:t>
      </w:r>
      <w:bookmarkEnd w:id="19"/>
    </w:p>
    <w:p w14:paraId="74581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本范式实现了数字技术的普惠，将创造权下放给每一个人，让全民的创意与痛点都能转化为可落地的数字解决方案，有望释放全社会的数字创造力，为数字经济发展提供底层动力。</w:t>
      </w:r>
    </w:p>
    <w:p w14:paraId="28A9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960D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当AI承担起重复性、机械性的生产劳动，个体从生存压力中解放出来，可将精力投入到创意、设计、规则制定等更高价值的工作中；数字创造门槛的降低，让更多人能将自身知识、经验转化为数字产品，实现低成本的能力提升与职业转型，引导社会形成以价值创造为导向的发展环境，弱化单纯享乐化倾向。</w:t>
      </w:r>
    </w:p>
    <w:p w14:paraId="C780C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20" w:name="_Toc5976"/>
      <w:r>
        <w:rPr>
          <w:rFonts w:hint="eastAsia"/>
          <w:sz w:val="24"/>
          <w:szCs w:val="28"/>
          <w:lang w:eastAsia="zh-CN"/>
        </w:rPr>
        <w:t>5.4 范式核心价值：补全人机交互的演化环节</w:t>
      </w:r>
      <w:bookmarkEnd w:id="20"/>
    </w:p>
    <w:p w14:paraId="9B4CB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本范式提出的中文原生范式语言，并非替代人类自然语言，而是遵循人类自然语言的演化规律，补全AI交互中被跳过的“规范层”，让人机交互回归“字词—语句—规范—执行”的正确路径。</w:t>
      </w:r>
    </w:p>
    <w:p w14:paraId="6ACCF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范式语言在保留中文自然、易懂、低门槛的前提下，建立了机器可识别、人类可理解、全员可统一、合规可管控的结构化规则，让AI从“黑箱式理解”转变为“透明化执行”，从“提供建议的辅助工具”转变为“创造实际价值的执行手段”。</w:t>
      </w:r>
    </w:p>
    <w:p w14:paraId="12052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这一设计不仅实现了技术层面的稳定与高效，更从底层消解了人类对AI的不信任感与危机感，将人机关系从“对立与替代”拉回“协作与共生”，最终有望形成人越使用、价值越高；AI越进化、人类越强大的正向循环。</w:t>
      </w:r>
    </w:p>
    <w:p w14:paraId="FEE7E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21" w:name="_Toc12437"/>
      <w:r>
        <w:rPr>
          <w:rFonts w:hint="eastAsia"/>
          <w:sz w:val="24"/>
          <w:szCs w:val="28"/>
          <w:lang w:eastAsia="zh-CN"/>
        </w:rPr>
        <w:t>5.5 国家安全与战略价值</w:t>
      </w:r>
      <w:bookmarkEnd w:id="21"/>
    </w:p>
    <w:p w14:paraId="77D5A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本范式的核心价值，不仅在于技术与民生层面，更在于其为国家数字主权建设、AI生态治理、国产AI合力构建提供了可落地的底层抓手，是AI时代国家数字战略的重要基础支撑。</w:t>
      </w:r>
    </w:p>
    <w:p w14:paraId="DAC0D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22" w:name="_Toc6460"/>
      <w:r>
        <w:rPr>
          <w:rFonts w:hint="eastAsia"/>
          <w:sz w:val="24"/>
          <w:szCs w:val="28"/>
          <w:lang w:eastAsia="zh-CN"/>
        </w:rPr>
        <w:t>5.5.1 从根源管控国产AI生成风险，筑牢数字安全底线</w:t>
      </w:r>
      <w:bookmarkEnd w:id="22"/>
    </w:p>
    <w:p w14:paraId="9B3A6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AI的无规则自由生成，是当前内容安全、政治安全的核心风险点。本范式通过统一的规则体系，将AI的“自由生成”转变为“规则内执行”，从底层压缩了歧义、违规、错误言论的生成空间；同时通过前置合规校验，实现了所有执行逻辑的可管控、可追溯、可校准，即便模型训练数据存在杂讯，也可通过范式规则实现风险兜底，大幅降低国家AI治理的成本与难度。</w:t>
      </w:r>
    </w:p>
    <w:p w14:paraId="7F49A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23" w:name="_Toc11550"/>
      <w:r>
        <w:rPr>
          <w:rFonts w:hint="eastAsia"/>
          <w:sz w:val="24"/>
          <w:szCs w:val="28"/>
          <w:lang w:eastAsia="zh-CN"/>
        </w:rPr>
        <w:t>5.5.2 整合国产AI生态，形成行业合力</w:t>
      </w:r>
      <w:bookmarkEnd w:id="23"/>
      <w:r>
        <w:rPr>
          <w:rFonts w:hint="eastAsia"/>
          <w:sz w:val="24"/>
          <w:szCs w:val="28"/>
          <w:lang w:eastAsia="zh-CN"/>
        </w:rPr>
        <w:t xml:space="preserve"> </w:t>
      </w:r>
    </w:p>
    <w:p w14:paraId="563E2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当前国产AI行业存在“各自为战、重复内卷、标准不一”的问题，各家模型的交互逻辑、执行标准、合规口径均有差异，无法形成整体竞争</w:t>
      </w:r>
    </w:p>
    <w:p w14:paraId="59F1E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力。本范式作为一套统一的顶层交互规范，无需强行整合各家模型的底层技术，仅需各家模型适配范式规则，即可实现“一次编写、全生态兼容”，让国产AI从“分散作战”转变为“合力向前”，大幅提升国产AI的整体竞争力与用户体验。</w:t>
      </w:r>
    </w:p>
    <w:p w14:paraId="45C0E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24" w:name="_Toc1829"/>
      <w:r>
        <w:rPr>
          <w:rFonts w:hint="eastAsia"/>
          <w:sz w:val="24"/>
          <w:szCs w:val="28"/>
          <w:lang w:eastAsia="zh-CN"/>
        </w:rPr>
        <w:t>5.5.3 构建以国有制为主体的数字基础设施，牢牢掌握数字主权</w:t>
      </w:r>
      <w:bookmarkEnd w:id="24"/>
    </w:p>
    <w:p w14:paraId="019BA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本范式的核心规则制定权、解释权、更新权，可牢牢掌握在国家手中，形成以国有制为主体、市场活力为补充的数字基础设施：</w:t>
      </w:r>
    </w:p>
    <w:p w14:paraId="0A19E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国家掌握范式的核心规则与合规底线，保证整个生态的发展方向符合国家战略，牢牢掌握数字创造的底层主权；</w:t>
      </w:r>
    </w:p>
    <w:p w14:paraId="26890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市场主体可在规则框架内，自由开发适配功能、拓展应用场景、优化用户体验，充分释放生态活力，无需担心规则混乱与合规风险。</w:t>
      </w:r>
    </w:p>
    <w:p w14:paraId="FC1C7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这种模式，无需国家控股每一家AI企业，即可通过统一范式实现对整个AI生态的规范与引导，是数字时代国有制为主体的全新实现形式，也是国家掌控数字主权的最优路径之一。</w:t>
      </w:r>
    </w:p>
    <w:p w14:paraId="9B1E0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3BFD7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2"/>
        <w:rPr>
          <w:rFonts w:hint="eastAsia"/>
          <w:sz w:val="24"/>
          <w:szCs w:val="28"/>
          <w:lang w:eastAsia="zh-CN"/>
        </w:rPr>
      </w:pPr>
      <w:bookmarkStart w:id="25" w:name="_Toc31352"/>
      <w:r>
        <w:rPr>
          <w:rFonts w:hint="eastAsia"/>
          <w:sz w:val="24"/>
          <w:szCs w:val="28"/>
          <w:lang w:eastAsia="zh-CN"/>
        </w:rPr>
        <w:t>5.5.4 提升中文数字话语权，构建全球AI生态壁垒</w:t>
      </w:r>
      <w:bookmarkEnd w:id="25"/>
    </w:p>
    <w:p w14:paraId="6D2F0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中文的构词与语义逻辑，天然适配本范式的结构化、可执行设计，具备英文无法比拟的母语级表达优势。其他国家若要效仿这种全民数字化、全民编程的模式，需学习并适配中文体系与范式规则，这有望推动中文成为AI时代的全球通用创造语言之一，彻底改变英文在数字领域的垄断地位，提升中文的国际话语权与数字文化影响力。</w:t>
      </w:r>
    </w:p>
    <w:p w14:paraId="F8080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599B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26" w:name="_Toc5371"/>
      <w:r>
        <w:rPr>
          <w:rFonts w:hint="eastAsia"/>
          <w:sz w:val="24"/>
          <w:szCs w:val="28"/>
          <w:lang w:eastAsia="zh-CN"/>
        </w:rPr>
        <w:t>5.6 长远社会发展价值</w:t>
      </w:r>
      <w:bookmarkEnd w:id="26"/>
    </w:p>
    <w:p w14:paraId="C280A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本范式所倡导的全民创造、低门槛创作、按需生产、兴趣驱动价值等理念，与共产主义社会、大同社会所追求的“物质极大丰富、人的自由全面发展、劳动回归兴趣本质”存在内在契合。</w:t>
      </w:r>
    </w:p>
    <w:p w14:paraId="3F65E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当重复性生产劳动被AI广泛承担，个体从生存型劳动中解放，转而以兴趣、创造力实现自身价值，整个社会的生产关系与发展模式将迎来根本性变化。本范式为普通人与AI构建了新型协作关系，为未来理想社会形态的实现，提供了一条可落地的技术思路与现实可能性。</w:t>
      </w:r>
    </w:p>
    <w:p w14:paraId="25F0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重要声明：本范式仅提供技术实现的可能性，所有应用均需在国家法律法规、政策导向与社会公序良俗的框架内进行，绝不鼓励任何违规、违法的操作与开发。</w:t>
      </w:r>
    </w:p>
    <w:p w14:paraId="6C1BA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6D710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0"/>
        <w:rPr>
          <w:rFonts w:hint="eastAsia"/>
          <w:sz w:val="24"/>
          <w:szCs w:val="28"/>
          <w:lang w:eastAsia="zh-CN"/>
        </w:rPr>
      </w:pPr>
      <w:bookmarkStart w:id="27" w:name="_Toc15851"/>
      <w:r>
        <w:rPr>
          <w:rFonts w:hint="eastAsia"/>
          <w:sz w:val="24"/>
          <w:szCs w:val="28"/>
          <w:lang w:eastAsia="zh-CN"/>
        </w:rPr>
        <w:t>第六章 生态与发展规划</w:t>
      </w:r>
      <w:bookmarkEnd w:id="27"/>
    </w:p>
    <w:p w14:paraId="1DDE1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发展将遵循**“核心规则稳定、生态开放迭代、合规底线不松”**的原则，通过短期完善基础、中期拓展场景、长期构建生态，逐步推动全民数字创造的落地与国家数字战略的适配，让中文成为AI时代的核心创造语言之一。</w:t>
      </w:r>
    </w:p>
    <w:p w14:paraId="C334F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28" w:name="_Toc6111"/>
      <w:r>
        <w:rPr>
          <w:rFonts w:hint="eastAsia"/>
          <w:sz w:val="24"/>
          <w:szCs w:val="28"/>
          <w:lang w:eastAsia="zh-CN"/>
        </w:rPr>
        <w:t>6.1 短期规划（1-6个月）：夯实基础，开放核心</w:t>
      </w:r>
      <w:bookmarkEnd w:id="28"/>
    </w:p>
    <w:p w14:paraId="5CF40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完善范式V1.01核心规范，发布正式的规则手册、解析指南与合规校验标准；</w:t>
      </w:r>
    </w:p>
    <w:p w14:paraId="85874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完成国产主流大模型的核心适配验证，保证范式指令在国产AI生态内可稳定执行；</w:t>
      </w:r>
    </w:p>
    <w:p w14:paraId="A5104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开发并开源范式核心API与基础执行环境，向所有开发者与用户免费开放，降低生态参与门槛；</w:t>
      </w:r>
    </w:p>
    <w:p w14:paraId="82391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搭建官方社区，建立用户反馈、合规校验、规则优化的闭环通道，持续优化范式的易用性、兼容性与安全性；</w:t>
      </w:r>
    </w:p>
    <w:p w14:paraId="8C30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5. 推出基础教程与案例库，覆盖办公自动化、简单数据处理等高频场景，帮助普通用户快速入门。</w:t>
      </w:r>
    </w:p>
    <w:p w14:paraId="DB17E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8"/>
          <w:lang w:eastAsia="zh-CN"/>
        </w:rPr>
      </w:pPr>
    </w:p>
    <w:p w14:paraId="506A2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29" w:name="_Toc4396"/>
      <w:r>
        <w:rPr>
          <w:rFonts w:hint="eastAsia"/>
          <w:sz w:val="24"/>
          <w:szCs w:val="28"/>
          <w:lang w:eastAsia="zh-CN"/>
        </w:rPr>
        <w:t>6.2 中期规划（6-18个月）：拓展场景，培育生态</w:t>
      </w:r>
      <w:bookmarkEnd w:id="29"/>
      <w:r>
        <w:rPr>
          <w:rFonts w:hint="eastAsia"/>
          <w:sz w:val="24"/>
          <w:szCs w:val="28"/>
          <w:lang w:eastAsia="zh-CN"/>
        </w:rPr>
        <w:t xml:space="preserve"> </w:t>
      </w:r>
    </w:p>
    <w:p w14:paraId="3C273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完成主流办公软件、设计软件、工业软件的场景适配，覆盖更多行业的实际需求，让范式落地更多生产场景；</w:t>
      </w:r>
    </w:p>
    <w:p w14:paraId="E7320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推出可视化编辑器，实现“写中文、实时看结果、全流程合规校验”的直观体验，进一步降低用户的使用门槛；</w:t>
      </w:r>
    </w:p>
    <w:p w14:paraId="39D0E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构建完整的教程体系与创作者激励计划，鼓励用户分享范式案例、开发拓展功能，推动社区生态的繁荣；</w:t>
      </w:r>
    </w:p>
    <w:p w14:paraId="91D7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与高校、职业院校合作，将范式纳入数字素养教育体系，推动全民数字创造能力的提升；</w:t>
      </w:r>
    </w:p>
    <w:p w14:paraId="08FE8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5. 培育“范式翻译师”新职业，推动形成术语翻译、功能库适配、合规校验的行业共识与规范，推动英文技术资源的中文范式转化；</w:t>
      </w:r>
    </w:p>
    <w:p w14:paraId="F580A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6. 推动范式成为国产AI交互的行业共识规范，形成国产AI生态的统一交互标准。</w:t>
      </w:r>
    </w:p>
    <w:p w14:paraId="7CA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16414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1"/>
        <w:rPr>
          <w:rFonts w:hint="eastAsia"/>
          <w:sz w:val="24"/>
          <w:szCs w:val="28"/>
          <w:lang w:eastAsia="zh-CN"/>
        </w:rPr>
      </w:pPr>
      <w:bookmarkStart w:id="30" w:name="_Toc16250"/>
      <w:r>
        <w:rPr>
          <w:rFonts w:hint="eastAsia"/>
          <w:sz w:val="24"/>
          <w:szCs w:val="28"/>
          <w:lang w:eastAsia="zh-CN"/>
        </w:rPr>
        <w:t>6.3 长期规划（18个月以上）：构建生态，全球推广</w:t>
      </w:r>
      <w:bookmarkEnd w:id="30"/>
    </w:p>
    <w:p w14:paraId="E372E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构建完整的中文AI创造生态，形成“需求提出-工具开发-合规校验-成果分享-优化迭代”的正向循环；当生态足够庞大稳定、合规体系完善后，开放范式格式自由定义权，用户无需严格遵守固定格式，无需指定底层包与导入语句，仅用习惯的中文表达意图，由市场、用户习惯与国家合规规范共同筛选最优范式设计；</w:t>
      </w:r>
    </w:p>
    <w:p w14:paraId="E820A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推动范式成为国家数字治理与AI生态的底层基础规范之一，筑牢国家数字安全底线，掌握数字创造的底层主权；</w:t>
      </w:r>
    </w:p>
    <w:p w14:paraId="8BC20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推动本范式的全球化推广，让中文成为AI时代的全球通用创造语言，提升中国在全球数字领域的话语权与影响力；</w:t>
      </w:r>
    </w:p>
    <w:p w14:paraId="2DE5D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持续探索范式在人工智能、元宇宙、工业互联网等前沿领域的应用，推动全民创造力的全面释放，为数字时代的技术普惠与国家数字战略落地提供底层支撑。</w:t>
      </w:r>
    </w:p>
    <w:p w14:paraId="D2103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原创声明 </w:t>
      </w:r>
    </w:p>
    <w:p w14:paraId="482AE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本白皮书提出的</w:t>
      </w:r>
      <w:r>
        <w:rPr>
          <w:rFonts w:hint="eastAsia"/>
          <w:sz w:val="24"/>
          <w:szCs w:val="28"/>
          <w:lang w:val="en-US" w:eastAsia="zh-CN"/>
        </w:rPr>
        <w:t>[</w:t>
      </w:r>
      <w:r>
        <w:rPr>
          <w:rFonts w:hint="eastAsia"/>
          <w:sz w:val="24"/>
          <w:szCs w:val="28"/>
          <w:lang w:eastAsia="zh-CN"/>
        </w:rPr>
        <w:t>中文轻量AI编程范式</w:t>
      </w:r>
      <w:r>
        <w:rPr>
          <w:rFonts w:hint="eastAsia"/>
          <w:sz w:val="24"/>
          <w:szCs w:val="28"/>
          <w:lang w:val="en-US" w:eastAsia="zh-CN"/>
        </w:rPr>
        <w:t>]</w:t>
      </w:r>
      <w:r>
        <w:rPr>
          <w:rFonts w:hint="eastAsia"/>
          <w:sz w:val="24"/>
          <w:szCs w:val="28"/>
          <w:lang w:eastAsia="zh-CN"/>
        </w:rPr>
        <w:t>为独立原创的完整体系，首次公开发布于2026年3月8日，所有内容、规则、设计均受《中华人民共和国著作权法》保护。</w:t>
      </w:r>
    </w:p>
    <w:p w14:paraId="423AC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90C5A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1. 任何个人或机构，基于本范式进行的研究、开发、二次创作、传播推广，均需以显著方式明确注明原作者与来源；</w:t>
      </w:r>
    </w:p>
    <w:p w14:paraId="D79CF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2. 未经原作者书面授权，不得将本范式的核心设计、规则体系用于商业开发、运营与盈利活动；</w:t>
      </w:r>
    </w:p>
    <w:p w14:paraId="2A2A9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3. 本范式为开放协作体系，欢迎所有用户与开发者在遵守本声明、符合国家合规要求的前提下，共同完善、优化范式设计，推动中文AI创造生态的发展；</w:t>
      </w:r>
    </w:p>
    <w:p w14:paraId="447BD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4. 本范式仅提供一套可落地的技术思路与规范，不承诺终极产品形态，原作者保留对范式核心规则、合规标准的优化与更新权。</w:t>
      </w:r>
    </w:p>
    <w:p w14:paraId="A9821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 xml:space="preserve"> </w:t>
      </w:r>
    </w:p>
    <w:p w14:paraId="52F3A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后记</w:t>
      </w:r>
    </w:p>
    <w:p w14:paraId="AABFA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数字时代的终极目标，不是让少数人掌握技术红利，而是让每一个人都能享受到技术带来的便利，都能拥有创造的能力与机会；不是让技术脱离管控，而是让技术在安全、合规的框架内，服务于人与社会的发展。</w:t>
      </w:r>
    </w:p>
    <w:p w14:paraId="2035F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本范式的诞生，不是为了替代谁、颠覆谁，而是为了给所有普通人，提供一把打开数字创造大门的中文钥匙；为国产AI生态，提供一套统一规范、形成合力的底层框架；为国家数字治理，提供一个可落地、可管控的核心抓手。</w:t>
      </w:r>
    </w:p>
    <w:p w14:paraId="39C9A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我相信，当编程不再是专业壁垒，当每一个人的创意都能被轻松实现，当AI技术在可控的框架内服务于人，整个社会将迸发出前所未有的数字创造力。</w:t>
      </w:r>
    </w:p>
    <w:p w14:paraId="397F6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8"/>
        </w:rPr>
      </w:pPr>
      <w:r>
        <w:rPr>
          <w:rFonts w:hint="eastAsia"/>
          <w:sz w:val="24"/>
          <w:szCs w:val="28"/>
          <w:lang w:eastAsia="zh-CN"/>
        </w:rPr>
        <w:t>路虽远，行则将至；事虽难，做则必成。我们期待与所有中文数字创造者、国产AI从业者一起，共建中文AI创造生态，见证中文轻量AI编程范式赋能全民创造、筑牢国家数字安全的新时代到来。</w:t>
      </w:r>
    </w:p>
    <w:sectPr>
      <w:pgSz w:w="11906" w:h="16838"/>
      <w:pgMar w:top="1440" w:right="1800" w:bottom="1440" w:left="1800" w:header="851" w:footer="992" w:gutter="0"/>
      <w:pgBorders>
        <w:top w:val="single" w:color="auto" w:sz="4" w:space="1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FhYTYyMzMzZTMzYzAzYWZlM2NhNjE5ZjgwZmU1YTgifQ=="/>
  </w:docVars>
  <w:rsids>
    <w:rsidRoot w:val="00000000"/>
    <w:rsid w:val="26641F59"/>
    <w:rsid w:val="7D7228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qFormat/>
    <w:uiPriority w:val="0"/>
    <w:pPr>
      <w:ind w:leftChars="0"/>
    </w:pPr>
    <w:rPr>
      <w:rFonts w:ascii="Calibri" w:hAnsi="Calibri" w:eastAsia="宋体" w:cs="Arial"/>
      <w:sz w:val="20"/>
      <w:szCs w:val="20"/>
    </w:rPr>
  </w:style>
  <w:style w:type="paragraph" w:customStyle="1" w:styleId="5">
    <w:name w:val="WPSOffice手动目录 2"/>
    <w:qFormat/>
    <w:uiPriority w:val="0"/>
    <w:pPr>
      <w:ind w:leftChars="200"/>
    </w:pPr>
    <w:rPr>
      <w:rFonts w:ascii="Calibri" w:hAnsi="Calibri" w:eastAsia="宋体" w:cs="Arial"/>
      <w:sz w:val="20"/>
      <w:szCs w:val="20"/>
    </w:rPr>
  </w:style>
  <w:style w:type="paragraph" w:customStyle="1" w:styleId="6">
    <w:name w:val="WPSOffice手动目录 3"/>
    <w:qFormat/>
    <w:uiPriority w:val="0"/>
    <w:pPr>
      <w:ind w:leftChars="400"/>
    </w:pPr>
    <w:rPr>
      <w:rFonts w:ascii="Calibri" w:hAnsi="Calibri" w:eastAsia="宋体" w:cs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试卷封面12"/>
      <sectRole val="1"/>
    </customSectPr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8686</Words>
  <Characters>9026</Characters>
  <Paragraphs>307</Paragraphs>
  <TotalTime>36</TotalTime>
  <ScaleCrop>false</ScaleCrop>
  <LinksUpToDate>false</LinksUpToDate>
  <CharactersWithSpaces>9203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2020-02-19T09:01:00Z</dcterms:created>
  <dc:creator>三爱翼</dc:creator>
  <cp:lastModifiedBy>你的精神支柱是你自己</cp:lastModifiedBy>
  <dcterms:modified xsi:type="dcterms:W3CDTF">2026-04-16T11:10:24Z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125ACE1D06DD4ECC8158B3A5AA125B27_13</vt:lpwstr>
  </property>
  <property fmtid="{D5CDD505-2E9C-101B-9397-08002B2CF9AE}" pid="3" name="KSOProductBuildVer">
    <vt:lpwstr>2052-12.1.0.18276</vt:lpwstr>
  </property>
</Properties>
</file>