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ackground/>
  <w:body>
    <w:p>
      <w:pPr>
        <w:pStyle w:val="dingding-heading1"/>
      </w:pPr>
      <w:r>
        <w:rPr>
          <w:sz w:val="48"/>
          <w:b w:val="1"/>
        </w:rPr>
        <w:t xml:space="preserve">【M线本部】-【个人赛道·OPC全链路】-【从人工智能到共生智能-语义层数据分析实践】</w:t>
      </w:r>
    </w:p>
    <w:p>
      <w:bookmarkStart w:id="mswsnciszymveh79hpj" w:name="mswsnciszymveh79hpj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一、课题基本信息 </w:t>
      </w:r>
      <w:bookmarkEnd w:id="mswsnciszymveh79hpj"/>
    </w:p>
    <w:tbl>
      <w:tblPr>
        <w:tblStyle w:val="TableGrid"/>
        <w:tblW w:w="5000" w:type="pct"/>
      </w:tblPr>
      <w:tblGrid>
        <w:gridCol w:w="4012"/>
        <w:gridCol w:w="10732"/>
      </w:tblGrid>
      <w:tr>
        <w:trPr>
          <w:trHeight w:val="0"/>
        </w:trPr>
        <w:tc>
          <w:tcPr>
            <w:tcW w:w="4012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项目</w:t>
            </w:r>
          </w:p>
        </w:tc>
        <w:tc>
          <w:tcPr>
            <w:tcW w:w="10732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填写内容</w:t>
            </w:r>
          </w:p>
        </w:tc>
      </w:tr>
      <w:tr>
        <w:trPr>
          <w:trHeight w:val="0"/>
        </w:trPr>
        <w:tc>
          <w:tcPr>
            <w:tcW w:w="4012" w:type="dxa"/>
          </w:tcPr>
          <w:p>
            <w:pPr>
              <w:spacing w:line="276" w:lineRule="auto"/>
            </w:pPr>
            <w:r>
              <w:t xml:space="preserve">组织名称（地区/本部）</w:t>
            </w:r>
          </w:p>
        </w:tc>
        <w:tc>
          <w:tcPr>
            <w:tcW w:w="10732" w:type="dxa"/>
          </w:tcPr>
          <w:p>
            <w:pPr>
              <w:spacing w:line="276" w:lineRule="auto"/>
            </w:pPr>
            <w:r>
              <w:t xml:space="preserve">产品业务处</w:t>
            </w:r>
          </w:p>
        </w:tc>
      </w:tr>
      <w:tr>
        <w:trPr>
          <w:trHeight w:val="0"/>
        </w:trPr>
        <w:tc>
          <w:tcPr>
            <w:tcW w:w="4012" w:type="dxa"/>
          </w:tcPr>
          <w:p>
            <w:pPr>
              <w:spacing w:line="276" w:lineRule="auto"/>
            </w:pPr>
            <w:r>
              <w:t xml:space="preserve">队伍名称</w:t>
            </w:r>
          </w:p>
        </w:tc>
        <w:tc>
          <w:tcPr>
            <w:tcW w:w="10732" w:type="dxa"/>
          </w:tcPr>
          <w:p>
            <w:pPr>
              <w:spacing w:line="276" w:lineRule="auto"/>
            </w:pPr>
            <w:r>
              <w:t xml:space="preserve">cognitive shift</w:t>
            </w:r>
          </w:p>
        </w:tc>
      </w:tr>
      <w:tr>
        <w:trPr>
          <w:trHeight w:val="0"/>
        </w:trPr>
        <w:tc>
          <w:tcPr>
            <w:tcW w:w="4012" w:type="dxa"/>
          </w:tcPr>
          <w:p>
            <w:pPr>
              <w:spacing w:line="276" w:lineRule="auto"/>
            </w:pPr>
            <w:r>
              <w:t xml:space="preserve">课题名称</w:t>
            </w:r>
          </w:p>
        </w:tc>
        <w:tc>
          <w:tcPr>
            <w:tcW w:w="10732" w:type="dxa"/>
          </w:tcPr>
          <w:p>
            <w:pPr>
              <w:spacing w:line="276" w:lineRule="auto"/>
            </w:pPr>
            <w:r>
              <w:t xml:space="preserve">语义层数据分析实践</w:t>
            </w:r>
          </w:p>
        </w:tc>
      </w:tr>
      <w:tr>
        <w:trPr>
          <w:trHeight w:val="0"/>
        </w:trPr>
        <w:tc>
          <w:tcPr>
            <w:tcW w:w="4012" w:type="dxa"/>
          </w:tcPr>
          <w:p>
            <w:pPr>
              <w:spacing w:line="276" w:lineRule="auto"/>
            </w:pPr>
            <w:r>
              <w:t xml:space="preserve">参赛赛道</w:t>
            </w:r>
          </w:p>
        </w:tc>
        <w:tc>
          <w:tcPr>
            <w:tcW w:w="10732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 个人赛道：OPC 全链路</w:t>
            </w:r>
          </w:p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 团队赛道</w:t>
            </w:r>
          </w:p>
          <w:p>
            <w:pPr>
              <w:ind w:left="200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产品创新</w:t>
            </w:r>
          </w:p>
          <w:p>
            <w:pPr>
              <w:ind w:left="200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运营创新</w:t>
            </w:r>
          </w:p>
          <w:p>
            <w:pPr>
              <w:ind w:left="200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业务创新</w:t>
            </w:r>
          </w:p>
          <w:p>
            <w:pPr>
              <w:ind w:left="200"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>
              <w:t xml:space="preserve">X 创新</w:t>
            </w:r>
          </w:p>
        </w:tc>
      </w:tr>
      <w:tr>
        <w:trPr>
          <w:trHeight w:val="0"/>
        </w:trPr>
        <w:tc>
          <w:tcPr>
            <w:tcW w:w="4012" w:type="dxa"/>
          </w:tcPr>
          <w:p>
            <w:pPr>
              <w:spacing w:line="276" w:lineRule="auto"/>
            </w:pPr>
            <w:r>
              <w:t xml:space="preserve">所属业务领域</w:t>
            </w:r>
          </w:p>
        </w:tc>
        <w:tc>
          <w:tcPr>
            <w:tcW w:w="10732" w:type="dxa"/>
          </w:tcPr>
          <w:p>
            <w:pPr>
              <w:ind/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4012" w:type="dxa"/>
          </w:tcPr>
          <w:p>
            <w:pPr>
              <w:spacing w:line="276" w:lineRule="auto"/>
            </w:pPr>
            <w:r>
              <w:t xml:space="preserve">确认为全新课题</w:t>
            </w:r>
          </w:p>
        </w:tc>
        <w:tc>
          <w:tcPr>
            <w:tcW w:w="10732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>
              <w:t xml:space="preserve">是</w:t>
            </w:r>
          </w:p>
        </w:tc>
      </w:tr>
    </w:tbl>
    <w:p>
      <w:pPr>
        <w:pBdr>
          <w:top w:val="single" w:sz="12" w:space="0" w:color="DFAB01"/>
        </w:pBdr>
      </w:pPr>
    </w:p>
    <w:p>
      <w:bookmarkStart w:id="mswsnciu3pqciu8789t" w:name="mswsnciu3pqciu8789t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二、参赛人员信息 </w:t>
      </w:r>
      <w:bookmarkEnd w:id="mswsnciu3pqciu8789t"/>
    </w:p>
    <w:p>
      <w:bookmarkStart w:id="mswsnciu4v3t6kelfie" w:name="mswsnciu4v3t6kelfie"/>
      <w:pPr>
        <w:pStyle w:val="dingding-heading3"/>
        <w:spacing w:line="276" w:lineRule="auto"/>
      </w:pPr>
      <w:r>
        <w:t xml:space="preserve">2.1 个人赛道</w:t>
      </w:r>
      <w:bookmarkEnd w:id="mswsnciu4v3t6kelfie"/>
    </w:p>
    <w:tbl>
      <w:tblPr>
        <w:tblStyle w:val="TableGrid"/>
        <w:tblW w:w="0" w:type="pct"/>
      </w:tblPr>
      <w:tblGrid>
        <w:gridCol w:w="3848"/>
        <w:gridCol w:w="10896"/>
      </w:tblGrid>
      <w:tr>
        <w:trPr>
          <w:trHeight w:val="0"/>
        </w:trPr>
        <w:tc>
          <w:tcPr>
            <w:tcW w:w="3848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项目</w:t>
            </w:r>
          </w:p>
        </w:tc>
        <w:tc>
          <w:tcPr>
            <w:tcW w:w="10896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填写内容</w:t>
            </w:r>
          </w:p>
        </w:tc>
      </w:tr>
      <w:tr>
        <w:trPr>
          <w:trHeight w:val="0"/>
        </w:trPr>
        <w:tc>
          <w:tcPr>
            <w:tcW w:w="3848" w:type="dxa"/>
          </w:tcPr>
          <w:p>
            <w:pPr>
              <w:spacing w:line="276" w:lineRule="auto"/>
            </w:pPr>
            <w:r>
              <w:t xml:space="preserve">姓名</w:t>
            </w:r>
          </w:p>
        </w:tc>
        <w:tc>
          <w:tcPr>
            <w:tcW w:w="10896" w:type="dxa"/>
          </w:tcPr>
          <w:p>
            <w:pPr>
              <w:spacing w:line="276" w:lineRule="auto"/>
            </w:pPr>
            <w:r>
              <w:t xml:space="preserve">孙豪杰</w:t>
            </w:r>
          </w:p>
        </w:tc>
      </w:tr>
      <w:tr>
        <w:trPr>
          <w:trHeight w:val="0"/>
        </w:trPr>
        <w:tc>
          <w:tcPr>
            <w:tcW w:w="3848" w:type="dxa"/>
          </w:tcPr>
          <w:p>
            <w:pPr>
              <w:spacing w:line="276" w:lineRule="auto"/>
            </w:pPr>
            <w:r>
              <w:t xml:space="preserve">工号</w:t>
            </w:r>
          </w:p>
        </w:tc>
        <w:tc>
          <w:tcPr>
            <w:tcW w:w="10896" w:type="dxa"/>
          </w:tcPr>
          <w:p>
            <w:pPr>
              <w:spacing w:line="276" w:lineRule="auto"/>
            </w:pPr>
            <w:r>
              <w:t xml:space="preserve"> 01368438</w:t>
            </w:r>
          </w:p>
        </w:tc>
      </w:tr>
      <w:tr>
        <w:trPr>
          <w:trHeight w:val="0"/>
        </w:trPr>
        <w:tc>
          <w:tcPr>
            <w:tcW w:w="3848" w:type="dxa"/>
          </w:tcPr>
          <w:p>
            <w:pPr>
              <w:spacing w:line="276" w:lineRule="auto"/>
            </w:pPr>
            <w:r>
              <w:t xml:space="preserve">岗位</w:t>
            </w:r>
          </w:p>
        </w:tc>
        <w:tc>
          <w:tcPr>
            <w:tcW w:w="10896" w:type="dxa"/>
          </w:tcPr>
          <w:p>
            <w:pPr>
              <w:spacing w:line="276" w:lineRule="auto"/>
            </w:pPr>
            <w:r>
              <w:t xml:space="preserve">产品策略支持高级专员</w:t>
            </w:r>
          </w:p>
        </w:tc>
      </w:tr>
      <w:tr>
        <w:trPr>
          <w:trHeight w:val="0"/>
        </w:trPr>
        <w:tc>
          <w:tcPr>
            <w:tcW w:w="3848" w:type="dxa"/>
          </w:tcPr>
          <w:p>
            <w:pPr>
              <w:spacing w:line="276" w:lineRule="auto"/>
            </w:pPr>
            <w:r>
              <w:t xml:space="preserve">联系方式</w:t>
            </w:r>
          </w:p>
        </w:tc>
        <w:tc>
          <w:tcPr>
            <w:tcW w:w="10896" w:type="dxa"/>
          </w:tcPr>
          <w:p>
            <w:pPr>
              <w:spacing w:line="276" w:lineRule="auto"/>
            </w:pPr>
            <w:r/>
          </w:p>
        </w:tc>
      </w:tr>
      <w:tr>
        <w:trPr>
          <w:trHeight w:val="675"/>
        </w:trPr>
        <w:tc>
          <w:tcPr>
            <w:tcW w:w="3848" w:type="dxa"/>
          </w:tcPr>
          <w:p>
            <w:pPr>
              <w:spacing w:line="276" w:lineRule="auto"/>
            </w:pPr>
            <w:r>
              <w:t xml:space="preserve">所在地区/部门</w:t>
            </w:r>
          </w:p>
        </w:tc>
        <w:tc>
          <w:tcPr>
            <w:tcW w:w="10896" w:type="dxa"/>
          </w:tcPr>
          <w:p>
            <w:pPr>
              <w:spacing w:line="276" w:lineRule="auto"/>
            </w:pPr>
            <w:r>
              <w:t xml:space="preserve">产品业务处</w:t>
            </w:r>
          </w:p>
        </w:tc>
      </w:tr>
    </w:tbl>
    <w:p>
      <w:bookmarkStart w:id="mswsnciwmy6wvy3nfx" w:name="mswsnciwmy6wvy3nfx"/>
      <w:pPr>
        <w:pStyle w:val="dingding-heading3"/>
        <w:spacing w:line="276" w:lineRule="auto"/>
      </w:pPr>
      <w:r>
        <w:t xml:space="preserve">2.2 团队赛道</w:t>
      </w:r>
      <w:bookmarkEnd w:id="mswsnciwmy6wvy3nfx"/>
    </w:p>
    <w:p>
      <w:pPr>
        <w:pStyle w:val="dingding_quote"/>
        <w:spacing w:line="276" w:lineRule="auto"/>
      </w:pPr>
      <w:r>
        <w:t xml:space="preserve">团队人数严格控制在 2-4 人。（请谨慎评估参赛人员数量，涉及后续人才打标及落档事项）</w:t>
      </w:r>
    </w:p>
    <w:tbl>
      <w:tblPr>
        <w:tblStyle w:val="TableGrid"/>
        <w:tblW w:w="0" w:type="pct"/>
      </w:tblPr>
      <w:tblGrid>
        <w:gridCol w:w="2457"/>
        <w:gridCol w:w="2457"/>
        <w:gridCol w:w="2457"/>
        <w:gridCol w:w="2457"/>
        <w:gridCol w:w="2457"/>
        <w:gridCol w:w="2457"/>
      </w:tblGrid>
      <w:tr>
        <w:trPr>
          <w:trHeight w:val="1080"/>
        </w:trPr>
        <w:tc>
          <w:tcPr>
            <w:tcW w:w="2457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角色</w:t>
            </w:r>
          </w:p>
        </w:tc>
        <w:tc>
          <w:tcPr>
            <w:tcW w:w="2457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姓名</w:t>
            </w:r>
            <w:r>
              <w:rPr>
                <w:sz w:val="16"/>
                <w:b w:val="1"/>
              </w:rPr>
              <w:t xml:space="preserve">（直接@丰声账号）</w:t>
            </w:r>
          </w:p>
        </w:tc>
        <w:tc>
          <w:tcPr>
            <w:tcW w:w="2457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工号</w:t>
            </w:r>
          </w:p>
        </w:tc>
        <w:tc>
          <w:tcPr>
            <w:tcW w:w="2457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岗位</w:t>
            </w:r>
          </w:p>
        </w:tc>
        <w:tc>
          <w:tcPr>
            <w:tcW w:w="2457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所在地区/部门</w:t>
            </w:r>
          </w:p>
        </w:tc>
        <w:tc>
          <w:tcPr>
            <w:tcW w:w="2457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主要职责</w:t>
            </w:r>
          </w:p>
        </w:tc>
      </w:tr>
      <w:tr>
        <w:trPr>
          <w:trHeight w:val="0"/>
        </w:trPr>
        <w:tc>
          <w:tcPr>
            <w:tcW w:w="2457" w:type="dxa"/>
          </w:tcPr>
          <w:p>
            <w:pPr>
              <w:spacing w:line="276" w:lineRule="auto"/>
            </w:pPr>
            <w:r>
              <w:t xml:space="preserve">队长</w:t>
            </w:r>
          </w:p>
        </w:tc>
        <w:tc>
          <w:tcPr>
            <w:tcW w:w="2457" w:type="dxa"/>
          </w:tcPr>
          <w:p>
            <w:pPr>
              <w:spacing w:line="276" w:lineRule="auto"/>
            </w:pPr>
            <w:r>
              <w:rPr>
                <w:b w:val="1"/>
              </w:rPr>
            </w:r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>
              <w:t xml:space="preserve">整体统筹、材料汇总、对外沟通</w:t>
            </w:r>
          </w:p>
        </w:tc>
      </w:tr>
      <w:tr>
        <w:trPr>
          <w:trHeight w:val="0"/>
        </w:trPr>
        <w:tc>
          <w:tcPr>
            <w:tcW w:w="2457" w:type="dxa"/>
          </w:tcPr>
          <w:p>
            <w:pPr>
              <w:spacing w:line="276" w:lineRule="auto"/>
            </w:pPr>
            <w:r>
              <w:t xml:space="preserve">成员 1</w:t>
            </w:r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457" w:type="dxa"/>
          </w:tcPr>
          <w:p>
            <w:pPr>
              <w:spacing w:line="276" w:lineRule="auto"/>
            </w:pPr>
            <w:r>
              <w:t xml:space="preserve">成员 2</w:t>
            </w:r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457" w:type="dxa"/>
          </w:tcPr>
          <w:p>
            <w:pPr>
              <w:spacing w:line="276" w:lineRule="auto"/>
            </w:pPr>
            <w:r>
              <w:t xml:space="preserve">成员 3</w:t>
            </w:r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  <w:tc>
          <w:tcPr>
            <w:tcW w:w="2457" w:type="dxa"/>
          </w:tcPr>
          <w:p>
            <w:pPr>
              <w:spacing w:line="276" w:lineRule="auto"/>
            </w:pPr>
            <w:r/>
          </w:p>
        </w:tc>
      </w:tr>
    </w:tbl>
    <w:p>
      <w:pPr>
        <w:pBdr>
          <w:top w:val="single" w:sz="12" w:space="0" w:color="DFAB01"/>
        </w:pBdr>
      </w:pPr>
    </w:p>
    <w:p>
      <w:bookmarkStart w:id="mswsnciz34ufjlj43v6" w:name="mswsnciz34ufjlj43v6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三、业务背景与痛点 </w:t>
      </w:r>
      <w:bookmarkEnd w:id="mswsnciz34ufjlj43v6"/>
    </w:p>
    <w:p>
      <w:bookmarkStart w:id="mswsncizgfrsxpq5wdp" w:name="mswsncizgfrsxpq5wdp"/>
      <w:pPr>
        <w:pStyle w:val="dingding-heading3"/>
        <w:spacing w:line="276" w:lineRule="auto"/>
      </w:pPr>
      <w:r>
        <w:t xml:space="preserve">3.1 业务场景（300 字以内）</w:t>
      </w:r>
      <w:bookmarkEnd w:id="mswsncizgfrsxpq5wdp"/>
    </w:p>
    <w:p>
      <w:pPr/>
      <w:r>
        <w:rPr>
          <w:sz w:val="22"/>
          <w:color w:val="202B38"/>
        </w:rPr>
        <w:t xml:space="preserve">本部与区部在经营复盘、产品评估和客户跟进中，持续面对收入变化、客户流失、业务结构调整等分析任务。以XX地区收入回落为例，通常由业务人员提出问题，分析人员找数据、核口径、拆贡献，再请客户经理补充背景，经过多轮沟通形成建议。</w:t>
      </w:r>
    </w:p>
    <w:p>
      <w:pPr/>
      <w:r>
        <w:rPr>
          <w:sz w:val="22"/>
          <w:color w:val="202B38"/>
        </w:rPr>
        <w:t xml:space="preserve">数据分布在不同报表与系统，同一指标存在不同统计范围；非专业人员还需理解字段、关联关系和分析方法，使用门槛较高。已有问数智能体降低了部分取数门槛，但复杂任务仍常需人工反复追问、核数和组织证据。地区投入大量精力后，仍可能遇到数字对不上、结论不敢用的问题。</w:t>
      </w:r>
    </w:p>
    <w:p>
      <w:pPr/>
      <w:r>
        <w:rPr>
          <w:sz w:val="22"/>
          <w:color w:val="202B38"/>
        </w:rPr>
      </w:r>
      <w:r>
        <w:drawing>
          <wp:inline distT="0" distB="0" distL="0" distR="0">
            <wp:extent cx="8553450" cy="4819650"/>
            <wp:effectExtent b="0" l="0" r="0" t="0"/>
            <wp:docPr id="1" name="Clipboard_Screenshot_17890310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85534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color w:val="202B38"/>
        </w:rPr>
      </w:r>
    </w:p>
    <w:p>
      <w:pPr/>
      <w:r>
        <w:rPr>
          <w:sz w:val="22"/>
          <w:color w:val="202B38"/>
        </w:rPr>
      </w:r>
    </w:p>
    <w:p>
      <w:bookmarkStart w:id="mswsncizc5pfx6c5ece" w:name="mswsncizc5pfx6c5ece"/>
      <w:pPr>
        <w:pStyle w:val="dingding-heading3"/>
        <w:spacing w:line="276" w:lineRule="auto"/>
      </w:pPr>
      <w:r>
        <w:t xml:space="preserve">3.2 核心痛点（300 字以内）</w:t>
      </w:r>
      <w:bookmarkEnd w:id="mswsncizc5pfx6c5ece"/>
    </w:p>
    <w:p>
      <w:pPr>
        <w:spacing w:line="276" w:lineRule="auto"/>
      </w:pPr>
      <w:r>
        <w:t xml:space="preserve">请描述当前存在的主要问题，以及给谁带来了什么影响。建议用“问题+影响”的结构描述。</w:t>
      </w:r>
    </w:p>
    <w:p>
      <w:pPr>
        <w:numPr>
          <w:ilvl w:val="0"/>
          <w:numId w:val="1"/>
        </w:numPr>
      </w:pPr>
      <w:r>
        <w:rPr>
          <w:b w:val="1"/>
        </w:rPr>
        <w:t xml:space="preserve">经验无法复用。</w:t>
      </w:r>
      <w:r>
        <w:t xml:space="preserve"> 同类问题每次都要重新向 AI 解释口径、对象和推理顺序；人的关键纠偏停留在对话里，换人、换地区后又要从头开始。</w:t>
      </w:r>
    </w:p>
    <w:p>
      <w:pPr>
        <w:numPr>
          <w:ilvl w:val="0"/>
          <w:numId w:val="2"/>
        </w:numPr>
      </w:pPr>
      <w:r>
        <w:rPr>
          <w:b w:val="1"/>
        </w:rPr>
        <w:t xml:space="preserve">结果无法直接使用。</w:t>
      </w:r>
      <w:r>
        <w:t xml:space="preserve"> 缺少数据来源、客户实体和分析路径约束时，AI 可能查错表、合错对象，或只给出浅层同环比；业务人员仍需重新核实，数据“看得到但不敢用”。</w:t>
        <w:br w:type="textWrapping"/>
      </w:r>
    </w:p>
    <w:p>
      <w:pPr>
        <w:numPr>
          <w:ilvl w:val="0"/>
          <w:numId w:val="3"/>
        </w:numPr>
      </w:pPr>
      <w:r>
        <w:rPr>
          <w:b w:val="1"/>
        </w:rPr>
        <w:t xml:space="preserve">任务无法闭环。</w:t>
      </w:r>
      <w:r>
        <w:t xml:space="preserve"> 传统 ChatBI 把工作停在“返回一个数”，后续定位、验证与行动仍依赖多人接力，耗时长、证据分散，也难沉淀为标准方法。</w:t>
      </w:r>
    </w:p>
    <w:p>
      <w:pPr/>
      <w:r/>
      <w:r>
        <w:drawing>
          <wp:inline distT="0" distB="0" distL="0" distR="0">
            <wp:extent cx="7229475" cy="3462241"/>
            <wp:effectExtent b="0" l="0" r="0" t="0"/>
            <wp:docPr id="2" name="Clipboard_Screenshot_178852256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7229475" cy="346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124700" cy="3679975"/>
            <wp:effectExtent b="0" l="0" r="0" t="0"/>
            <wp:docPr id="3" name="Clipboard_Screenshot_17885226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7124700" cy="36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swsncizkk5hb8axik" w:name="mswsncizkk5hb8axik"/>
      <w:pPr>
        <w:pStyle w:val="dingding-heading3"/>
        <w:spacing w:line="276" w:lineRule="auto"/>
      </w:pPr>
      <w:r>
        <w:t xml:space="preserve">3.3 目标用户</w:t>
      </w:r>
      <w:bookmarkEnd w:id="mswsncizkk5hb8axik"/>
    </w:p>
    <w:p>
      <w:pPr/>
      <w:r>
        <w:t xml:space="preserve">涉及数据分析相关工作的人员或组织，本方案更多讲的是可复制、可规模化的整套方案和理念；</w:t>
      </w:r>
    </w:p>
    <w:p>
      <w:pPr>
        <w:pBdr>
          <w:top w:val="single" w:sz="12" w:space="0" w:color="DFAB01"/>
        </w:pBdr>
      </w:pPr>
    </w:p>
    <w:p>
      <w:bookmarkStart w:id="mswsncj0j0o0y0qk0xe" w:name="mswsncj0j0o0y0qk0xe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四、解决方案 </w:t>
      </w:r>
      <w:bookmarkEnd w:id="mswsncj0j0o0y0qk0xe"/>
    </w:p>
    <w:p>
      <w:bookmarkStart w:id="mswsncj08csez0qejy6" w:name="mswsncj08csez0qejy6"/>
      <w:pPr>
        <w:pStyle w:val="dingding-heading3"/>
        <w:spacing w:line="276" w:lineRule="auto"/>
      </w:pPr>
      <w:r>
        <w:t xml:space="preserve">4.1 方案概述（300 字以内）</w:t>
      </w:r>
      <w:bookmarkEnd w:id="mswsncj08csez0qejy6"/>
    </w:p>
    <w:p>
      <w:pPr/>
      <w:r>
        <w:rPr>
          <w:sz w:val="22"/>
          <w:color w:val="202B38"/>
        </w:rPr>
        <w:t xml:space="preserve">模型具备通用知识，但不会天然掌握企业特定的数据口径、客户关系和分析标准。本方案将这些隐性经验整理为三层语义：数据语义规定查什么、怎么算；业务语义规定对象是谁、波动应放在什么背景下理解；分析语义规定先查什么、如何验证、证据不足时如何收口。</w:t>
      </w:r>
    </w:p>
    <w:p>
      <w:pPr/>
      <w:r>
        <w:rPr>
          <w:sz w:val="22"/>
          <w:color w:val="202B38"/>
        </w:rPr>
        <w:t xml:space="preserve">规则通过Skill或平台支持的指令与知识配置装载，在观象、领慧AI助理小可、丰景台智能小景中逐步适配实践，减少可避免的口径与判断错误。交付同时包括语义配置，以及从业务问题提炼规则、构造反例、验收和迭代的方法。跨平台迁移保留业务判断，重新适配数据、工具与权限。</w:t>
      </w:r>
    </w:p>
    <w:p>
      <w:pPr/>
      <w:r/>
      <w:r>
        <w:drawing>
          <wp:inline distT="0" distB="0" distL="0" distR="0">
            <wp:extent cx="7124700" cy="4021548"/>
            <wp:effectExtent b="0" l="0" r="0" t="0"/>
            <wp:docPr id="4" name="Clipboard_Screenshot_17885227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7124700" cy="402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7124700" cy="3904022"/>
            <wp:effectExtent b="0" l="0" r="0" t="0"/>
            <wp:docPr id="5" name="Clipboard_Screenshot_178852277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390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swsncj0lrgkjzbgf4h" w:name="mswsncj0lrgkjzbgf4h"/>
      <w:pPr>
        <w:pStyle w:val="dingding-heading3"/>
        <w:spacing w:line="276" w:lineRule="auto"/>
      </w:pPr>
      <w:r>
        <w:t xml:space="preserve">4.2 使用的AI工具</w:t>
      </w:r>
      <w:bookmarkEnd w:id="mswsncj0lrgkjzbgf4h"/>
    </w:p>
    <w:p>
      <w:pPr>
        <w:spacing w:line="276" w:lineRule="auto"/>
      </w:pPr>
      <w:r>
        <w:t xml:space="preserve">请勾选并说明使用的 AI 工具及具体用法。</w:t>
      </w:r>
    </w:p>
    <w:tbl>
      <w:tblPr>
        <w:tblStyle w:val="TableGrid"/>
        <w:tblW w:w="0" w:type="auto"/>
      </w:tblPr>
      <w:tblGrid>
        <w:gridCol w:w="2625"/>
        <w:gridCol w:w="4845"/>
        <w:gridCol w:w="7650"/>
      </w:tblGrid>
      <w:tr>
        <w:trPr>
          <w:trHeight w:val="0"/>
        </w:trPr>
        <w:tc>
          <w:tcPr>
            <w:tcW w:w="2625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工具类型</w:t>
            </w:r>
          </w:p>
        </w:tc>
        <w:tc>
          <w:tcPr>
            <w:tcW w:w="4845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是否使用</w:t>
            </w:r>
          </w:p>
        </w:tc>
        <w:tc>
          <w:tcPr>
            <w:tcW w:w="7650" w:type="dxa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具体用法说明</w:t>
            </w:r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领慧 AI 工作台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>
              <w:rPr>
                <w:sz w:val="21"/>
              </w:rPr>
              <w:t xml:space="preserve">以AI助理小可机器人为载体，适配业务说明、语义规则与可用能力；</w:t>
            </w:r>
          </w:p>
          <w:p>
            <w:pPr>
              <w:spacing w:line="276" w:lineRule="auto"/>
            </w:pPr>
            <w:r>
              <w:rPr>
                <w:sz w:val="21"/>
                <w:b w:val="1"/>
              </w:rPr>
              <w:t xml:space="preserve">步骤 1：</w:t>
            </w:r>
            <w:r>
              <w:rPr>
                <w:sz w:val="21"/>
              </w:rPr>
              <w:t xml:space="preserve">配置钉钉应用机器人</w:t>
            </w:r>
          </w:p>
          <w:p>
            <w:pPr>
              <w:spacing w:line="276" w:lineRule="auto"/>
            </w:pPr>
            <w:r>
              <w:rPr>
                <w:sz w:val="21"/>
              </w:rPr>
            </w:r>
            <w:r>
              <w:drawing>
                <wp:inline distT="0" distB="0" distL="0" distR="0">
                  <wp:extent cx="4695825" cy="2575042"/>
                  <wp:effectExtent b="0" l="0" r="0" t="0"/>
                  <wp:docPr id="6" name="Clipboard_Screenshot_178903117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4695825" cy="2575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步骤 2：</w:t>
            </w:r>
            <w:r>
              <w:rPr>
                <w:sz w:val="20"/>
              </w:rPr>
              <w:t xml:space="preserve">加载语义层并更新永久记忆</w:t>
            </w:r>
          </w:p>
          <w:p>
            <w:pPr/>
            <w:r/>
            <w:r>
              <w:drawing>
                <wp:inline distT="0" distB="0" distL="0" distR="0">
                  <wp:extent cx="4695825" cy="2705976"/>
                  <wp:effectExtent b="0" l="0" r="0" t="0"/>
                  <wp:docPr id="7" name="Clipboard_Screenshot_178903197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4695825" cy="270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>
              <w:spacing w:line="276" w:lineRule="auto"/>
            </w:pPr>
            <w:r>
              <w:rPr>
                <w:sz w:val="21"/>
                <w:b w:val="1"/>
              </w:rPr>
              <w:t xml:space="preserve">步骤 3：</w:t>
            </w:r>
            <w:r>
              <w:rPr>
                <w:sz w:val="21"/>
              </w:rPr>
              <w:t xml:space="preserve">领慧助手配置</w:t>
            </w:r>
          </w:p>
          <w:p>
            <w:pPr>
              <w:spacing w:line="276" w:lineRule="auto"/>
            </w:pPr>
            <w:r>
              <w:rPr>
                <w:sz w:val="21"/>
              </w:rPr>
            </w:r>
            <w:r>
              <w:drawing>
                <wp:inline distT="0" distB="0" distL="0" distR="0">
                  <wp:extent cx="4695825" cy="2445115"/>
                  <wp:effectExtent b="0" l="0" r="0" t="0"/>
                  <wp:docPr id="8" name="Clipboard_Screenshot_178903144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4695825" cy="244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</w:r>
          </w:p>
          <w:p>
            <w:pPr/>
            <w:r/>
            <w:r>
              <w:drawing>
                <wp:inline distT="0" distB="0" distL="0" distR="0">
                  <wp:extent cx="4695825" cy="931582"/>
                  <wp:effectExtent b="0" l="0" r="0" t="0"/>
                  <wp:docPr id="9" name="Clipboard_Screenshot_178903150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4695825" cy="931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/>
            <w:r>
              <w:t xml:space="preserve">慧应用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/>
            <w:r>
              <w:t xml:space="preserve">Fast Agent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钉钉 AI 表格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Deap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/>
            <w:r>
              <w:t xml:space="preserve">钉钉 AI 文档</w:t>
            </w:r>
          </w:p>
        </w:tc>
        <w:tc>
          <w:tcPr>
            <w:tcW w:w="4845" w:type="dxa"/>
          </w:tcPr>
          <w:p>
            <w:pPr/>
            <w:r/>
          </w:p>
        </w:tc>
        <w:tc>
          <w:tcPr>
            <w:tcW w:w="765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钉钉 AI 听记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钉钉 AI 搜问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钉钉 AI 会议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/>
            <w:r>
              <w:t xml:space="preserve">钉钉 A1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/>
            <w:r/>
          </w:p>
        </w:tc>
      </w:tr>
      <w:tr>
        <w:trPr>
          <w:trHeight w:val="21135"/>
        </w:trPr>
        <w:tc>
          <w:tcPr>
            <w:tcW w:w="2625" w:type="dxa"/>
          </w:tcPr>
          <w:p>
            <w:pPr/>
            <w:r>
              <w:t xml:space="preserve">丰景台智能小景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1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☑</w:t>
                </w:r>
              </w:sdtContent>
            </w:sdt>
            <w:r/>
          </w:p>
        </w:tc>
        <w:tc>
          <w:tcPr>
            <w:tcW w:w="7650" w:type="dxa"/>
          </w:tcPr>
          <w:p>
            <w:pPr/>
            <w:r>
              <w:t xml:space="preserve">作为 Agent 运行与验证载体：配置角色、上传原子 Skill、加载三层语义、连接授权数据工具，并完成场景问答与结果验证。</w:t>
            </w:r>
          </w:p>
          <w:p>
            <w:pPr/>
            <w:r/>
          </w:p>
          <w:p>
            <w:pPr/>
            <w:r>
              <w:t xml:space="preserve">步骤 1：配置小景 Agent：</w:t>
            </w:r>
          </w:p>
          <w:p>
            <w:pPr/>
            <w:r/>
            <w:r>
              <w:drawing>
                <wp:inline distT="0" distB="0" distL="0" distR="0">
                  <wp:extent cx="4695825" cy="2584334"/>
                  <wp:effectExtent b="0" l="0" r="0" t="0"/>
                  <wp:docPr id="10" name="Clipboard_Screenshot_1789032031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4695825" cy="25843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>
              <w:t xml:space="preserve">步骤 2：配置角色及大模型+语义层 skill 文件</w:t>
            </w:r>
          </w:p>
          <w:p>
            <w:pPr/>
            <w:r/>
            <w:r>
              <w:drawing>
                <wp:inline distT="0" distB="0" distL="0" distR="0">
                  <wp:extent cx="4695825" cy="2611509"/>
                  <wp:effectExtent b="0" l="0" r="0" t="0"/>
                  <wp:docPr id="11" name="Clipboard_Screenshot_178903208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4695825" cy="2611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  <w:r>
              <w:drawing>
                <wp:inline distT="0" distB="0" distL="0" distR="0">
                  <wp:extent cx="4695825" cy="2623734"/>
                  <wp:effectExtent b="0" l="0" r="0" t="0"/>
                  <wp:docPr id="12" name="Clipboard_Screenshot_178903211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4695825" cy="262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>
              <w:t xml:space="preserve">步骤 3：配置权限</w:t>
            </w:r>
          </w:p>
          <w:p>
            <w:pPr/>
            <w:r/>
            <w:r>
              <w:drawing>
                <wp:inline distT="0" distB="0" distL="0" distR="0">
                  <wp:extent cx="4695825" cy="2502810"/>
                  <wp:effectExtent b="0" l="0" r="0" t="0"/>
                  <wp:docPr id="13" name="Clipboard_Screenshot_178903216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4695825" cy="250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  <w:p>
            <w:pPr/>
            <w:r/>
          </w:p>
          <w:p>
            <w:pPr/>
            <w:r>
              <w:t xml:space="preserve">步骤 4：去丰景台首页试用（注意，这里就是我们独立开发的小景 Agent 了，可以查看左下角，但是开发小景 Agent，当前只有空间的管理员才有权限哦）</w:t>
            </w:r>
          </w:p>
          <w:p>
            <w:pPr/>
            <w:r/>
            <w:r>
              <w:drawing>
                <wp:inline distT="0" distB="0" distL="0" distR="0">
                  <wp:extent cx="4695825" cy="2627814"/>
                  <wp:effectExtent b="0" l="0" r="0" t="0"/>
                  <wp:docPr id="14" name="Clipboard_Screenshot_178903220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4695825" cy="2627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/>
            <w:r>
              <w:t xml:space="preserve">Echo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2625" w:type="dxa"/>
          </w:tcPr>
          <w:p>
            <w:pPr>
              <w:spacing w:line="276" w:lineRule="auto"/>
            </w:pPr>
            <w:r>
              <w:t xml:space="preserve">其他：</w:t>
            </w:r>
            <w:r>
              <w:rPr>
                <w:b w:val="1"/>
                <w:i w:val="1"/>
              </w:rPr>
              <w:t xml:space="preserve">_</w:t>
            </w:r>
            <w:r>
              <w:t xml:space="preserve">_</w:t>
            </w:r>
          </w:p>
        </w:tc>
        <w:tc>
          <w:tcPr>
            <w:tcW w:w="4845" w:type="dxa"/>
          </w:tcPr>
          <w:p>
            <w:pPr>
              <w:ind/>
            </w:pPr>
            <w:sdt>
              <w:sdtPr>
                <w14:checkbox>
                  <w14:checked w14:val="0"/>
                  <w14:checkedState w14:val="2611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eastAsia="MS Gothic" w:hint="eastAsia"/>
                  </w:rPr>
                  <w:t xml:space="preserve">☐</w:t>
                </w:r>
              </w:sdtContent>
            </w:sdt>
            <w:r/>
          </w:p>
        </w:tc>
        <w:tc>
          <w:tcPr>
            <w:tcW w:w="7650" w:type="dxa"/>
          </w:tcPr>
          <w:p>
            <w:pPr>
              <w:spacing w:line="276" w:lineRule="auto"/>
            </w:pPr>
            <w:r/>
          </w:p>
        </w:tc>
      </w:tr>
    </w:tbl>
    <w:p>
      <w:bookmarkStart w:id="mswsncj3zixflfbom7l" w:name="mswsncj3zixflfbom7l"/>
      <w:pPr>
        <w:pStyle w:val="dingding-heading3"/>
        <w:spacing w:line="276" w:lineRule="auto"/>
      </w:pPr>
      <w:r>
        <w:t xml:space="preserve">4.3 方案详细描述（800 字以内）</w:t>
      </w:r>
      <w:bookmarkEnd w:id="mswsncj3zixflfbom7l"/>
    </w:p>
    <w:p>
      <w:pPr>
        <w:numPr>
          <w:ilvl w:val="0"/>
          <w:numId w:val="4"/>
        </w:numPr>
      </w:pPr>
      <w:r>
        <w:t xml:space="preserve">从业务问题出发。围绕“XX地区收入为何回落”，梳理人工工作链，区分取数错误、业务误判和分析不足，明确交付需包含口径、贡献对象、证据、待核实项与建议。</w:t>
      </w:r>
    </w:p>
    <w:p>
      <w:pPr>
        <w:numPr>
          <w:ilvl w:val="0"/>
          <w:numId w:val="4"/>
        </w:numPr>
      </w:pPr>
      <w:r>
        <w:t xml:space="preserve">把交流沉淀为规则。围绕AI Ready与GPT持续讨论，由参赛人补充业务约束、追问隐含前提、用反例纠正泛化回答；把验证有效的判断写入配置，不把一次回答直接作为业务标准。</w:t>
      </w:r>
    </w:p>
    <w:p>
      <w:pPr>
        <w:numPr>
          <w:ilvl w:val="0"/>
          <w:numId w:val="4"/>
        </w:numPr>
      </w:pPr>
      <w:r>
        <w:t xml:space="preserve">建立数据语义。明确授权数据源、字段、指标、时间、组织归属与粒度；统一票数和票均收入，要求明细汇总与总量核对，避免相近表替代和重复聚合。</w:t>
      </w:r>
    </w:p>
    <w:p>
      <w:pPr>
        <w:numPr>
          <w:ilvl w:val="0"/>
          <w:numId w:val="4"/>
        </w:numPr>
      </w:pPr>
      <w:r>
        <w:t xml:space="preserve">建立业务语义。定义客户与月结卡关系及生效时间，先归并主体再判断风险；对618等周期选择可比窗口，检查账户迁移、客户结构和季节因素。</w:t>
      </w:r>
    </w:p>
    <w:p>
      <w:pPr>
        <w:numPr>
          <w:ilvl w:val="0"/>
          <w:numId w:val="4"/>
        </w:numPr>
      </w:pPr>
      <w:r>
        <w:t xml:space="preserve">建立分析语义。先确认异常，再拆解变化贡献、定位主要对象、追溯拐点，最后交叉核验原因。“贡献多少”与“为何发生”分别回答，线索不能直接写成因果结论。</w:t>
      </w:r>
    </w:p>
    <w:p>
      <w:pPr>
        <w:numPr>
          <w:ilvl w:val="0"/>
          <w:numId w:val="4"/>
        </w:numPr>
      </w:pPr>
      <w:r>
        <w:t xml:space="preserve">分阶段装载实践。观象用于首次验证；随后将规则适配至领慧AI助理小可；在丰景台小景中配置角色、数据范围及工具，将语义、步骤、输出与停止条件封装为Skill。各平台分别核对加载和调用效果。</w:t>
      </w:r>
    </w:p>
    <w:p>
      <w:pPr>
        <w:numPr>
          <w:ilvl w:val="0"/>
          <w:numId w:val="4"/>
        </w:numPr>
      </w:pPr>
      <w:r>
        <w:t xml:space="preserve">从报告验收实际执行。检查是否选对口径、认对主体、完成下钻并给出证据；缺数限定结论范围，证据不足停止归因，越权停止查询。现有两份报告用于结构展示；效果提升另以同模型、同数据、同题的加载前后测试验证。</w:t>
      </w:r>
    </w:p>
    <w:p>
      <w:pPr>
        <w:numPr>
          <w:ilvl w:val="0"/>
          <w:numId w:val="4"/>
        </w:numPr>
      </w:pPr>
      <w:r>
        <w:t xml:space="preserve">将修正写回版本。记录失败题、规则修改和复测结果；复制时保留判断方法，重配本地数据与工具，由另一位使用者用新题验收，检验能力是否真正脱离个人反复提示。</w:t>
      </w:r>
    </w:p>
    <w:p>
      <w:pPr/>
      <w:r/>
    </w:p>
    <w:p>
      <w:bookmarkStart w:id="mswsncj3749yiswmus4" w:name="mswsncj3749yiswmus4"/>
      <w:pPr>
        <w:pStyle w:val="dingding-heading3"/>
        <w:spacing w:line="276" w:lineRule="auto"/>
      </w:pPr>
      <w:r>
        <w:t xml:space="preserve">4.4 方案亮点（100 字以内）</w:t>
      </w:r>
      <w:bookmarkEnd w:id="mswsncj3749yiswmus4"/>
    </w:p>
    <w:p>
      <w:pPr>
        <w:numPr>
          <w:ilvl w:val="0"/>
          <w:numId w:val="5"/>
        </w:numPr>
      </w:pPr>
      <w:r>
        <w:rPr>
          <w:color w:val="2C2C2B"/>
          <w:b w:val="1"/>
          <w:shd w:val="clear" w:color="auto" w:fill="FFF5B8"/>
        </w:rPr>
        <w:t xml:space="preserve">AI 认知思维的跃迁：原创语义层的方案，并非完全出自本人，而是与 ChatGPT 的一次对话当中不断交流，互相验证，最终沉淀的一次结果，这次结果是一次可复制的认知思维；称之为：共生智能，这才是最核心的点，本次大赛最想表达的观点；</w:t>
      </w:r>
    </w:p>
    <w:p>
      <w:pPr/>
      <w:r>
        <w:rPr>
          <w:color w:val="2C2C2B"/>
          <w:b w:val="1"/>
          <w:shd w:val="clear" w:color="auto" w:fill="FFF5B8"/>
        </w:rPr>
      </w:r>
      <w:r>
        <w:drawing>
          <wp:inline distT="0" distB="0" distL="0" distR="0">
            <wp:extent cx="3857625" cy="2990850"/>
            <wp:effectExtent b="0" l="0" r="0" t="0"/>
            <wp:docPr id="15" name="Clipboard_Screenshot_178946822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38576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  <w:b w:val="1"/>
          <w:shd w:val="clear" w:color="auto" w:fill="FFF5B8"/>
        </w:rPr>
      </w:r>
      <w:r>
        <w:drawing>
          <wp:inline distT="0" distB="0" distL="0" distR="0">
            <wp:extent cx="3743325" cy="2936006"/>
            <wp:effectExtent b="0" l="0" r="0" t="0"/>
            <wp:docPr id="16" name="Clipboard_Screenshot_1789471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/>
                  </pic:blipFill>
                  <pic:spPr>
                    <a:xfrm rot="0">
                      <a:off x="0" y="0"/>
                      <a:ext cx="3743325" cy="293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  <w:b w:val="1"/>
          <w:shd w:val="clear" w:color="auto" w:fill="FFF5B8"/>
        </w:rPr>
      </w:r>
    </w:p>
    <w:p>
      <w:pPr/>
      <w:r/>
    </w:p>
    <w:p>
      <w:pPr/>
      <w:r>
        <w:rPr>
          <w:b w:val="1"/>
        </w:rPr>
        <w:t xml:space="preserve">“共生智能” 首次被提起：</w:t>
      </w:r>
    </w:p>
    <w:p>
      <w:pPr/>
      <w:r>
        <w:rPr>
          <w:color w:val="2C2C2B"/>
          <w:b w:val="1"/>
          <w:shd w:val="clear" w:color="auto" w:fill="FFF5B8"/>
        </w:rPr>
      </w:r>
      <w:r>
        <w:drawing>
          <wp:inline distT="0" distB="0" distL="0" distR="0">
            <wp:extent cx="6134100" cy="8810625"/>
            <wp:effectExtent b="0" l="0" r="0" t="0"/>
            <wp:docPr id="17" name="Clipboard_Screenshot_178947147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/>
                  </pic:blipFill>
                  <pic:spPr>
                    <a:xfrm rot="0">
                      <a:off x="0" y="0"/>
                      <a:ext cx="6134100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C2C2B"/>
          <w:b w:val="1"/>
          <w:shd w:val="clear" w:color="auto" w:fill="FFF5B8"/>
        </w:rPr>
      </w:r>
    </w:p>
    <w:p>
      <w:pPr/>
      <w:r/>
      <w:r>
        <w:drawing>
          <wp:inline distT="0" distB="0" distL="0" distR="0">
            <wp:extent cx="7962900" cy="4481513"/>
            <wp:effectExtent b="0" l="0" r="0" t="0"/>
            <wp:docPr id="1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/>
                  </pic:blipFill>
                  <pic:spPr>
                    <a:xfrm rot="0">
                      <a:off x="0" y="0"/>
                      <a:ext cx="7962900" cy="448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color w:val="2C2C2B"/>
          <w:b w:val="1"/>
          <w:shd w:val="clear" w:color="auto" w:fill="FFF5B8"/>
        </w:rPr>
      </w:r>
    </w:p>
    <w:p>
      <w:pPr>
        <w:numPr>
          <w:ilvl w:val="0"/>
          <w:numId w:val="5"/>
        </w:numPr>
      </w:pPr>
      <w:r>
        <w:t xml:space="preserve">分析可复核：贡献、原因与证据边界分开交付。</w:t>
      </w:r>
    </w:p>
    <w:p>
      <w:pPr>
        <w:numPr>
          <w:ilvl w:val="0"/>
          <w:numId w:val="5"/>
        </w:numPr>
      </w:pPr>
      <w:r>
        <w:t xml:space="preserve">能力可迁移：保留业务方法，适配平台配置，通过新题验证复用。</w:t>
      </w:r>
    </w:p>
    <w:p>
      <w:pPr/>
      <w:r/>
    </w:p>
    <w:p>
      <w:pPr/>
      <w:r/>
      <w:r>
        <w:drawing>
          <wp:inline distT="0" distB="0" distL="0" distR="0">
            <wp:extent cx="7124700" cy="3720741"/>
            <wp:effectExtent b="0" l="0" r="0" t="0"/>
            <wp:docPr id="19" name="Clipboard_Screenshot_17885227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/>
                  </pic:blipFill>
                  <pic:spPr>
                    <a:xfrm rot="0">
                      <a:off x="0" y="0"/>
                      <a:ext cx="7124700" cy="372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Bdr>
          <w:top w:val="single" w:sz="12" w:space="0" w:color="DFAB01"/>
        </w:pBdr>
      </w:pPr>
    </w:p>
    <w:p>
      <w:bookmarkStart w:id="mswsncj4q90ief79hz" w:name="mswsncj4q90ief79hz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五、落地效果与数据验证 </w:t>
      </w:r>
      <w:bookmarkEnd w:id="mswsncj4q90ief79hz"/>
    </w:p>
    <w:p>
      <w:bookmarkStart w:id="mswsncj47optkd4ge1f" w:name="mswsncj47optkd4ge1f"/>
      <w:pPr>
        <w:pStyle w:val="dingding-heading3"/>
        <w:spacing w:line="276" w:lineRule="auto"/>
      </w:pPr>
      <w:r>
        <w:t xml:space="preserve">5.1 落地情况</w:t>
      </w:r>
      <w:bookmarkEnd w:id="mswsncj47optkd4ge1f"/>
    </w:p>
    <w:p>
      <w:pPr/>
      <w:r>
        <w:t xml:space="preserve">已完成基于丰景台智能小景的原子 Skill 配置验证，且已经用该方案集成到产品智能体，月活超过 2000+，使用基于领慧平台的 AI 助理已经配置，且满足日常个人及产品业务处相关同事的数据分析、查询等工作；</w:t>
      </w:r>
    </w:p>
    <w:p>
      <w:pPr/>
      <w:r>
        <w:rPr>
          <w:b w:val="1"/>
        </w:rPr>
        <w:t xml:space="preserve">智能小景：</w:t>
      </w:r>
    </w:p>
    <w:p>
      <w:pPr/>
      <w:r/>
      <w:r>
        <w:drawing>
          <wp:inline distT="0" distB="0" distL="0" distR="0">
            <wp:extent cx="4000500" cy="1828800"/>
            <wp:effectExtent b="0" l="0" r="0" t="0"/>
            <wp:docPr id="20" name="Clipboard_Screenshot_17890211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/>
                  </pic:blipFill>
                  <pic:spPr>
                    <a:xfrm rot="0">
                      <a:off x="0" y="0"/>
                      <a:ext cx="4000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3600450" cy="1933575"/>
            <wp:effectExtent b="0" l="0" r="0" t="0"/>
            <wp:docPr id="21" name="Clipboard_Screenshot_17890211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/>
                  </pic:blipFill>
                  <pic:spPr>
                    <a:xfrm rot="0">
                      <a:off x="0" y="0"/>
                      <a:ext cx="36004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7600950" cy="4552950"/>
            <wp:effectExtent b="0" l="0" r="0" t="0"/>
            <wp:docPr id="22" name="Clipboard_Screenshot_17890220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/>
                  </pic:blipFill>
                  <pic:spPr>
                    <a:xfrm rot="0">
                      <a:off x="0" y="0"/>
                      <a:ext cx="76009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9363075" cy="6404121"/>
            <wp:effectExtent b="0" l="0" r="0" t="0"/>
            <wp:docPr id="23" name="Clipboard_Screenshot_17893763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/>
                  </pic:blipFill>
                  <pic:spPr>
                    <a:xfrm rot="0">
                      <a:off x="0" y="0"/>
                      <a:ext cx="9363075" cy="640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/>
      <w:r>
        <w:drawing>
          <wp:inline distT="0" distB="0" distL="0" distR="0">
            <wp:extent cx="9363075" cy="6648077"/>
            <wp:effectExtent b="0" l="0" r="0" t="0"/>
            <wp:docPr id="24" name="Clipboard_Screenshot_178937649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/>
                  </pic:blipFill>
                  <pic:spPr>
                    <a:xfrm rot="0">
                      <a:off x="0" y="0"/>
                      <a:ext cx="9363075" cy="664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9363075" cy="6384940"/>
            <wp:effectExtent b="0" l="0" r="0" t="0"/>
            <wp:docPr id="25" name="Clipboard_Screenshot_17893765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/>
                  </pic:blipFill>
                  <pic:spPr>
                    <a:xfrm rot="0">
                      <a:off x="0" y="0"/>
                      <a:ext cx="9363075" cy="63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9363075" cy="5406733"/>
            <wp:effectExtent b="0" l="0" r="0" t="0"/>
            <wp:docPr id="26" name="Clipboard_Screenshot_17893765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/>
                  </pic:blipFill>
                  <pic:spPr>
                    <a:xfrm rot="0">
                      <a:off x="0" y="0"/>
                      <a:ext cx="9363075" cy="540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pPr/>
      <w:r>
        <w:rPr>
          <w:b w:val="1"/>
        </w:rPr>
        <w:t xml:space="preserve">领慧助手+钉钉机器人：</w:t>
      </w:r>
    </w:p>
    <w:p>
      <w:pPr/>
      <w:r>
        <w:rPr>
          <w:b w:val="1"/>
        </w:rPr>
      </w:r>
      <w:r>
        <w:drawing>
          <wp:inline distT="0" distB="0" distL="0" distR="0">
            <wp:extent cx="9363075" cy="5338714"/>
            <wp:effectExtent b="0" l="0" r="0" t="0"/>
            <wp:docPr id="27" name="Clipboard_Screenshot_17890222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/>
                  </pic:blipFill>
                  <pic:spPr>
                    <a:xfrm rot="0">
                      <a:off x="0" y="0"/>
                      <a:ext cx="9363075" cy="533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</w:r>
    </w:p>
    <w:p>
      <w:pPr/>
      <w:r/>
    </w:p>
    <w:p>
      <w:pPr/>
      <w:r>
        <w:rPr>
          <w:b w:val="1"/>
        </w:rPr>
      </w:r>
      <w:r>
        <w:drawing>
          <wp:inline distT="0" distB="0" distL="0" distR="0">
            <wp:extent cx="9363075" cy="2936798"/>
            <wp:effectExtent b="0" l="0" r="0" t="0"/>
            <wp:docPr id="28" name="Clipboard_Screenshot_17890222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/>
                  </pic:blipFill>
                  <pic:spPr>
                    <a:xfrm rot="0">
                      <a:off x="0" y="0"/>
                      <a:ext cx="9363075" cy="293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</w:r>
    </w:p>
    <w:p>
      <w:pPr/>
      <w:r/>
      <w:r>
        <w:drawing>
          <wp:inline distT="0" distB="0" distL="0" distR="0">
            <wp:extent cx="5105400" cy="4000500"/>
            <wp:effectExtent b="0" l="0" r="0" t="0"/>
            <wp:docPr id="29" name="Clipboard_Screenshot_1789022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/>
                  </pic:blipFill>
                  <pic:spPr>
                    <a:xfrm rot="0">
                      <a:off x="0" y="0"/>
                      <a:ext cx="51054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b w:val="1"/>
        </w:rPr>
      </w:r>
    </w:p>
    <w:p>
      <w:pPr/>
      <w:r/>
      <w:r>
        <w:drawing>
          <wp:inline distT="0" distB="0" distL="0" distR="0">
            <wp:extent cx="9363075" cy="8499946"/>
            <wp:effectExtent b="0" l="0" r="0" t="0"/>
            <wp:docPr id="30" name="Clipboard_Screenshot_178902148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/>
                  </pic:blipFill>
                  <pic:spPr>
                    <a:xfrm rot="0">
                      <a:off x="0" y="0"/>
                      <a:ext cx="9363075" cy="849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  <w:r>
        <w:drawing>
          <wp:inline distT="0" distB="0" distL="0" distR="0">
            <wp:extent cx="9363075" cy="5273007"/>
            <wp:effectExtent b="0" l="0" r="0" t="0"/>
            <wp:docPr id="31" name="Clipboard_Screenshot_17893734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/>
                  </pic:blipFill>
                  <pic:spPr>
                    <a:xfrm rot="0">
                      <a:off x="0" y="0"/>
                      <a:ext cx="9363075" cy="527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9363075" cy="5441990"/>
            <wp:effectExtent b="0" l="0" r="0" t="0"/>
            <wp:docPr id="32" name="Clipboard_Screenshot_17893734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/>
                  </pic:blipFill>
                  <pic:spPr>
                    <a:xfrm rot="0">
                      <a:off x="0" y="0"/>
                      <a:ext cx="9363075" cy="544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9363075" cy="5827737"/>
            <wp:effectExtent b="0" l="0" r="0" t="0"/>
            <wp:docPr id="33" name="Clipboard_Screenshot_178937349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/>
                  </pic:blipFill>
                  <pic:spPr>
                    <a:xfrm rot="0">
                      <a:off x="0" y="0"/>
                      <a:ext cx="9363075" cy="582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  <w:r>
        <w:drawing>
          <wp:inline distT="0" distB="0" distL="0" distR="0">
            <wp:extent cx="9363075" cy="4776579"/>
            <wp:effectExtent b="0" l="0" r="0" t="0"/>
            <wp:docPr id="34" name="Clipboard_Screenshot_17893735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/>
                  </pic:blipFill>
                  <pic:spPr>
                    <a:xfrm rot="0">
                      <a:off x="0" y="0"/>
                      <a:ext cx="9363075" cy="477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/>
      <w:r/>
    </w:p>
    <w:p>
      <w:bookmarkStart w:id="mswsncj4bt59g3r2ifh" w:name="mswsncj4bt59g3r2ifh"/>
      <w:pPr>
        <w:pStyle w:val="dingding-heading3"/>
        <w:spacing w:line="276" w:lineRule="auto"/>
      </w:pPr>
      <w:r>
        <w:t xml:space="preserve">5.2 量化效果</w:t>
      </w:r>
      <w:bookmarkEnd w:id="mswsncj4bt59g3r2ifh"/>
    </w:p>
    <w:tbl>
      <w:tblPr>
        <w:tblStyle w:val="TableGrid"/>
        <w:tblW w:w="0" w:type="pct"/>
      </w:tblPr>
      <w:tblGrid>
        <w:gridCol w:w="3691"/>
        <w:gridCol w:w="2230"/>
        <w:gridCol w:w="2585"/>
        <w:gridCol w:w="6237"/>
      </w:tblGrid>
      <w:tr>
        <w:trPr>
          <w:trHeight w:val="0"/>
        </w:trPr>
        <w:tc>
          <w:tcPr>
            <w:tcW w:w="3691" w:type="dxa"/>
            <w:vAlign w:val="center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指标</w:t>
            </w:r>
          </w:p>
        </w:tc>
        <w:tc>
          <w:tcPr>
            <w:tcW w:w="2230" w:type="dxa"/>
            <w:vAlign w:val="center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使用前</w:t>
            </w:r>
          </w:p>
        </w:tc>
        <w:tc>
          <w:tcPr>
            <w:tcW w:w="2585" w:type="dxa"/>
            <w:vAlign w:val="center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使用后</w:t>
            </w:r>
          </w:p>
        </w:tc>
        <w:tc>
          <w:tcPr>
            <w:tcW w:w="6237" w:type="dxa"/>
            <w:vAlign w:val="center"/>
            <w:shd w:val="clear" w:color="auto" w:fill="FFFAE5"/>
          </w:tcPr>
          <w:p>
            <w:pPr>
              <w:spacing w:line="276" w:lineRule="auto"/>
            </w:pPr>
            <w:r>
              <w:rPr>
                <w:b w:val="1"/>
              </w:rPr>
              <w:t xml:space="preserve">效率提升幅度</w:t>
            </w:r>
          </w:p>
        </w:tc>
      </w:tr>
      <w:tr>
        <w:trPr>
          <w:trHeight w:val="0"/>
        </w:trPr>
        <w:tc>
          <w:tcPr>
            <w:tcW w:w="3691" w:type="dxa"/>
            <w:vAlign w:val="center"/>
          </w:tcPr>
          <w:p>
            <w:pPr>
              <w:spacing w:line="276" w:lineRule="auto"/>
            </w:pPr>
            <w:r>
              <w:t xml:space="preserve">日常数据查询（包含多维度）</w:t>
            </w:r>
          </w:p>
        </w:tc>
        <w:tc>
          <w:tcPr>
            <w:tcW w:w="2230" w:type="dxa"/>
            <w:vAlign w:val="center"/>
          </w:tcPr>
          <w:p>
            <w:pPr>
              <w:spacing w:line="276" w:lineRule="auto"/>
            </w:pPr>
            <w:r>
              <w:t xml:space="preserve">1-2 小时</w:t>
            </w:r>
          </w:p>
        </w:tc>
        <w:tc>
          <w:tcPr>
            <w:tcW w:w="2585" w:type="dxa"/>
            <w:vAlign w:val="center"/>
          </w:tcPr>
          <w:p>
            <w:pPr>
              <w:spacing w:line="276" w:lineRule="auto"/>
            </w:pPr>
            <w:r>
              <w:t xml:space="preserve">5 分钟以内</w:t>
            </w:r>
          </w:p>
        </w:tc>
        <w:tc>
          <w:tcPr>
            <w:tcW w:w="6237" w:type="dxa"/>
            <w:vAlign w:val="center"/>
          </w:tcPr>
          <w:p>
            <w:pPr>
              <w:spacing w:line="276" w:lineRule="auto"/>
            </w:pPr>
            <w:r>
              <w:rPr>
                <w:sz w:val="23"/>
                <w:color w:val="0F1115"/>
              </w:rPr>
              <w:t xml:space="preserve">提升约 92%-96% </w:t>
            </w:r>
          </w:p>
        </w:tc>
      </w:tr>
      <w:tr>
        <w:trPr>
          <w:trHeight w:val="0"/>
        </w:trPr>
        <w:tc>
          <w:tcPr>
            <w:tcW w:w="3691" w:type="dxa"/>
            <w:vAlign w:val="center"/>
          </w:tcPr>
          <w:p>
            <w:pPr>
              <w:spacing w:line="276" w:lineRule="auto"/>
            </w:pPr>
            <w:r>
              <w:t xml:space="preserve">分析诊断报告（html）</w:t>
            </w:r>
          </w:p>
        </w:tc>
        <w:tc>
          <w:tcPr>
            <w:tcW w:w="2230" w:type="dxa"/>
            <w:vAlign w:val="center"/>
          </w:tcPr>
          <w:p>
            <w:pPr>
              <w:spacing w:line="276" w:lineRule="auto"/>
            </w:pPr>
            <w:r>
              <w:t xml:space="preserve">1-2天</w:t>
            </w:r>
          </w:p>
        </w:tc>
        <w:tc>
          <w:tcPr>
            <w:tcW w:w="2585" w:type="dxa"/>
            <w:vAlign w:val="center"/>
          </w:tcPr>
          <w:p>
            <w:pPr>
              <w:spacing w:line="276" w:lineRule="auto"/>
            </w:pPr>
            <w:r>
              <w:t xml:space="preserve">30mins</w:t>
            </w:r>
          </w:p>
        </w:tc>
        <w:tc>
          <w:tcPr>
            <w:tcW w:w="6237" w:type="dxa"/>
            <w:vAlign w:val="center"/>
          </w:tcPr>
          <w:p>
            <w:pPr>
              <w:spacing w:line="276" w:lineRule="auto"/>
            </w:pPr>
            <w:r>
              <w:rPr>
                <w:sz w:val="23"/>
                <w:color w:val="0F1115"/>
              </w:rPr>
              <w:t xml:space="preserve">提升约 94%-97% </w:t>
            </w:r>
          </w:p>
        </w:tc>
      </w:tr>
      <w:tr>
        <w:trPr>
          <w:trHeight w:val="0"/>
        </w:trPr>
        <w:tc>
          <w:tcPr>
            <w:tcW w:w="3691" w:type="dxa"/>
            <w:vAlign w:val="center"/>
          </w:tcPr>
          <w:p>
            <w:pPr>
              <w:spacing w:line="276" w:lineRule="auto"/>
            </w:pPr>
            <w:r>
              <w:t xml:space="preserve">数据综合材料撰写</w:t>
            </w:r>
          </w:p>
        </w:tc>
        <w:tc>
          <w:tcPr>
            <w:tcW w:w="2230" w:type="dxa"/>
            <w:vAlign w:val="center"/>
          </w:tcPr>
          <w:p>
            <w:pPr>
              <w:spacing w:line="276" w:lineRule="auto"/>
            </w:pPr>
            <w:r>
              <w:t xml:space="preserve">2-3小时</w:t>
            </w:r>
          </w:p>
        </w:tc>
        <w:tc>
          <w:tcPr>
            <w:tcW w:w="2585" w:type="dxa"/>
            <w:vAlign w:val="center"/>
          </w:tcPr>
          <w:p>
            <w:pPr>
              <w:spacing w:line="276" w:lineRule="auto"/>
            </w:pPr>
            <w:r>
              <w:t xml:space="preserve">30分钟</w:t>
            </w:r>
          </w:p>
        </w:tc>
        <w:tc>
          <w:tcPr>
            <w:tcW w:w="6237" w:type="dxa"/>
            <w:vAlign w:val="center"/>
          </w:tcPr>
          <w:p>
            <w:pPr>
              <w:spacing w:line="276" w:lineRule="auto"/>
            </w:pPr>
            <w:r>
              <w:rPr>
                <w:sz w:val="23"/>
                <w:color w:val="0F1115"/>
              </w:rPr>
              <w:t xml:space="preserve">提升约 75%-83%</w:t>
            </w:r>
          </w:p>
        </w:tc>
      </w:tr>
    </w:tbl>
    <w:p>
      <w:bookmarkStart w:id="mswsncj6isxb1iupds" w:name="mswsncj6isxb1iupds"/>
      <w:pPr>
        <w:pStyle w:val="dingding-heading3"/>
        <w:spacing w:line="276" w:lineRule="auto"/>
      </w:pPr>
      <w:r>
        <w:t xml:space="preserve">5.3 用户反馈</w:t>
      </w:r>
      <w:bookmarkEnd w:id="mswsncj6isxb1iupds"/>
    </w:p>
    <w:p>
      <w:pPr/>
      <w:r/>
      <w:r>
        <w:drawing>
          <wp:inline distT="0" distB="0" distL="0" distR="0">
            <wp:extent cx="6191250" cy="3995403"/>
            <wp:effectExtent b="0" l="0" r="0" t="0"/>
            <wp:docPr id="35" name="Clipboard_Screenshot_178903366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/>
                  </pic:blipFill>
                  <pic:spPr>
                    <a:xfrm rot="0">
                      <a:off x="0" y="0"/>
                      <a:ext cx="6191250" cy="399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  <w:r>
        <w:drawing>
          <wp:inline distT="0" distB="0" distL="0" distR="0">
            <wp:extent cx="4838700" cy="762000"/>
            <wp:effectExtent b="0" l="0" r="0" t="0"/>
            <wp:docPr id="36" name="Clipboard_Screenshot_178903377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/>
                  </pic:blipFill>
                  <pic:spPr>
                    <a:xfrm rot="0">
                      <a:off x="0" y="0"/>
                      <a:ext cx="4838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pPr>
        <w:spacing w:line="276" w:lineRule="auto"/>
      </w:pPr>
      <w:r/>
      <w:r>
        <w:drawing>
          <wp:inline distT="0" distB="0" distL="0" distR="0">
            <wp:extent cx="6191250" cy="1666875"/>
            <wp:effectExtent b="0" l="0" r="0" t="0"/>
            <wp:docPr id="37" name="Clipboard_Screenshot_17890334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/>
                  </pic:blipFill>
                  <pic:spPr>
                    <a:xfrm rot="0">
                      <a:off x="0" y="0"/>
                      <a:ext cx="61912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spacing w:line="276" w:lineRule="auto"/>
      </w:pPr>
      <w:r/>
    </w:p>
    <w:p>
      <w:pPr>
        <w:spacing w:line="276" w:lineRule="auto"/>
      </w:pPr>
      <w:r/>
      <w:r>
        <w:drawing>
          <wp:inline distT="0" distB="0" distL="0" distR="0">
            <wp:extent cx="9267825" cy="1895475"/>
            <wp:effectExtent b="0" l="0" r="0" t="0"/>
            <wp:docPr id="38" name="Clipboard_Screenshot_17890338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/>
                  </pic:blipFill>
                  <pic:spPr>
                    <a:xfrm rot="0">
                      <a:off x="0" y="0"/>
                      <a:ext cx="9267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Bdr>
          <w:top w:val="single" w:sz="12" w:space="0" w:color="DFAB01"/>
        </w:pBdr>
      </w:pPr>
    </w:p>
    <w:p>
      <w:bookmarkStart w:id="mswsncj7hcyyw7kf3gk" w:name="mswsncj7hcyyw7kf3gk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六、可复制性说明 </w:t>
      </w:r>
      <w:bookmarkEnd w:id="mswsncj7hcyyw7kf3gk"/>
    </w:p>
    <w:p>
      <w:bookmarkStart w:id="mswsncj7ktacm913dw" w:name="mswsncj7ktacm913dw"/>
      <w:pPr>
        <w:pStyle w:val="dingding-heading3"/>
        <w:spacing w:line="276" w:lineRule="auto"/>
      </w:pPr>
      <w:r>
        <w:t xml:space="preserve">6.1 推广条件</w:t>
      </w:r>
      <w:bookmarkEnd w:id="mswsncj7ktacm913dw"/>
    </w:p>
    <w:p>
      <w:pPr>
        <w:numPr>
          <w:ilvl w:val="0"/>
          <w:numId w:val="6"/>
        </w:numPr>
      </w:pPr>
      <w:r>
        <w:t xml:space="preserve">已具备公司授权的 Agent 平台、数据权限和工具调用通道。</w:t>
        <w:br w:type="textWrapping"/>
      </w:r>
    </w:p>
    <w:p>
      <w:pPr>
        <w:numPr>
          <w:ilvl w:val="0"/>
          <w:numId w:val="7"/>
        </w:numPr>
      </w:pPr>
      <w:r>
        <w:t xml:space="preserve">选择的任务具有明确输入、稳定口径、可验证输出及业务负责人。</w:t>
        <w:br w:type="textWrapping"/>
      </w:r>
    </w:p>
    <w:p>
      <w:pPr>
        <w:numPr>
          <w:ilvl w:val="0"/>
          <w:numId w:val="8"/>
        </w:numPr>
      </w:pPr>
      <w:r>
        <w:t xml:space="preserve">至少由一名业务专家完成三层语义确认，并准备明确题、模糊题、边界题三类测试样例。</w:t>
        <w:br w:type="textWrapping"/>
      </w:r>
    </w:p>
    <w:p>
      <w:pPr>
        <w:numPr>
          <w:ilvl w:val="0"/>
          <w:numId w:val="9"/>
        </w:numPr>
      </w:pPr>
      <w:r>
        <w:t xml:space="preserve">需明确“AI 提供分析证据、人负责业务决策”的责任边界。</w:t>
      </w:r>
    </w:p>
    <w:p>
      <w:bookmarkStart w:id="mswsncj7ryv5nyxdabj" w:name="mswsncj7ryv5nyxdabj"/>
      <w:pPr>
        <w:pStyle w:val="dingding-heading3"/>
        <w:spacing w:line="276" w:lineRule="auto"/>
      </w:pPr>
      <w:r>
        <w:t xml:space="preserve">6.2 推广范围</w:t>
      </w:r>
      <w:bookmarkEnd w:id="mswsncj7ryv5nyxdabj"/>
    </w:p>
    <w:p>
      <w:pPr/>
      <w:r>
        <w:t xml:space="preserve">理论上可覆盖数据分析相关的所有智能体以及分析工具，受众为：集团跟数据分析相关的人员；</w:t>
      </w:r>
    </w:p>
    <w:p>
      <w:bookmarkStart w:id="mswsncj7iq8ohx7d848" w:name="mswsncj7iq8ohx7d848"/>
      <w:pPr>
        <w:pStyle w:val="dingding-heading3"/>
        <w:spacing w:line="276" w:lineRule="auto"/>
      </w:pPr>
      <w:r>
        <w:t xml:space="preserve">6.3 复制成本</w:t>
      </w:r>
      <w:bookmarkEnd w:id="mswsncj7iq8ohx7d848"/>
    </w:p>
    <w:p>
      <w:pPr/>
      <w:r>
        <w:t xml:space="preserve">在已具备平台和数据权限的前提下，复制成本主要是业务知识确认，而非新增开发。</w:t>
      </w:r>
    </w:p>
    <w:p>
      <w:pPr/>
      <w:r>
        <w:t xml:space="preserve">首个原子 Skill 预计需 1 名业务专家投入 3—4 小时梳理语义与验收标准，1 名配置/验证人员投入 4—6 小时完成配置、测试与版本发布；后续复制到相近地区或相近任务，主要增加本地规则调整和回归测试，预计半天内可完成首版。</w:t>
      </w:r>
    </w:p>
    <w:p>
      <w:pPr>
        <w:pBdr>
          <w:top w:val="single" w:sz="12" w:space="0" w:color="DFAB01"/>
        </w:pBdr>
      </w:pPr>
    </w:p>
    <w:p>
      <w:bookmarkStart w:id="mswsncj7yco6hty9ao7" w:name="mswsncj7yco6hty9ao7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七、集团复赛材料清单 </w:t>
      </w:r>
      <w:bookmarkEnd w:id="mswsncj7yco6hty9ao7"/>
    </w:p>
    <w:p>
      <w:pPr>
        <w:pStyle w:val="dingding_quote"/>
        <w:spacing w:line="276" w:lineRule="auto"/>
      </w:pPr>
      <w:r>
        <w:t xml:space="preserve">集团复赛为线上专家评审+全网公开投票，评委将基于本部分材料打分。请务必提交完整、清晰的材料，建议附带体验 Demo 或演示视频。</w:t>
      </w:r>
    </w:p>
    <w:p>
      <w:bookmarkStart w:id="mswsncj7zlm5ggy5okd" w:name="mswsncj7zlm5ggy5okd"/>
      <w:pPr>
        <w:pStyle w:val="dingding-heading3"/>
        <w:spacing w:line="276" w:lineRule="auto"/>
      </w:pPr>
      <w:r>
        <w:t xml:space="preserve">7.1 课题介绍 3 页材料（强烈建议）</w:t>
      </w:r>
      <w:bookmarkEnd w:id="mswsncj7zlm5ggy5okd"/>
    </w:p>
    <w:p>
      <w:pPr>
        <w:spacing w:line="276" w:lineRule="auto"/>
      </w:pPr>
      <w:r>
        <w:t xml:space="preserve">请上传课题可视化介绍材料，不强制格式，HTML、PPT、PDF、图文文档均可：</w:t>
      </w:r>
    </w:p>
    <w:p>
      <w:hyperlink r:id="rId42">
        <w:r>
          <w:rPr>
            <w:rStyle w:val="hyperlink"/>
          </w:rPr>
          <w:t xml:space="preserve">请至钉钉文档查看附件《Gongsi_Organizational_Cognition_Dynamic.mp4》。</w:t>
        </w:r>
      </w:hyperlink>
    </w:p>
    <w:p>
      <w:pPr>
        <w:ind/>
        <w:spacing w:line="276" w:lineRule="auto"/>
      </w:pPr>
      <w:r/>
    </w:p>
    <w:p>
      <w:bookmarkStart w:id="mswsncj7p30d83z6ghs" w:name="mswsncj7p30d83z6ghs"/>
      <w:pPr>
        <w:pStyle w:val="dingding-heading3"/>
        <w:spacing w:line="276" w:lineRule="auto"/>
      </w:pPr>
      <w:r>
        <w:t xml:space="preserve">7.2 体验Demo或演示视频</w:t>
      </w:r>
      <w:bookmarkEnd w:id="mswsncj7p30d83z6ghs"/>
    </w:p>
    <w:p>
      <w:pPr/>
      <w:r>
        <w:t xml:space="preserve">真实体验链接（需授权）：</w:t>
      </w:r>
      <w:hyperlink r:id="rId43">
        <w:r>
          <w:rPr>
            <w:rStyle w:val="hyperlink"/>
          </w:rPr>
          <w:t xml:space="preserve">https://cdbi.sf-express.com/v2/#/agent-bi?agentId=73f4c7633ccc47f5ad8d36f3fc310976</w:t>
        </w:r>
      </w:hyperlink>
      <w:r/>
    </w:p>
    <w:p>
      <w:pPr/>
      <w:r>
        <w:t xml:space="preserve">小景 Agent（强化语义层后）效果演示：</w:t>
      </w:r>
    </w:p>
    <w:p>
      <w:hyperlink r:id="rId44">
        <w:r>
          <w:rPr>
            <w:rStyle w:val="hyperlink"/>
          </w:rPr>
          <w:t xml:space="preserve">请至钉钉文档查看附件《20260910164828.mp4》。</w:t>
        </w:r>
      </w:hyperlink>
    </w:p>
    <w:p>
      <w:pPr/>
      <w:r/>
    </w:p>
    <w:p>
      <w:pPr/>
      <w:r>
        <w:t xml:space="preserve">领慧助手（强化语义层后）效果演示：</w:t>
      </w:r>
    </w:p>
    <w:p>
      <w:hyperlink r:id="rId45">
        <w:r>
          <w:rPr>
            <w:rStyle w:val="hyperlink"/>
          </w:rPr>
          <w:t xml:space="preserve">请至钉钉文档查看附件《20260910165634.mp4》。</w:t>
        </w:r>
      </w:hyperlink>
    </w:p>
    <w:p>
      <w:pPr/>
      <w:r/>
    </w:p>
    <w:p>
      <w:bookmarkStart w:id="mswsncj8hd97o972tyu" w:name="mswsncj8hd97o972tyu"/>
      <w:pPr>
        <w:pStyle w:val="dingding-heading3"/>
        <w:spacing w:line="276" w:lineRule="auto"/>
      </w:pPr>
      <w:r>
        <w:t xml:space="preserve">7.3 数据证明材料（选填）</w:t>
      </w:r>
      <w:bookmarkEnd w:id="mswsncj8hd97o972tyu"/>
    </w:p>
    <w:p>
      <w:pPr>
        <w:pBdr>
          <w:top w:val="single" w:sz="12" w:space="0" w:color="DFAB01"/>
        </w:pBdr>
      </w:pPr>
    </w:p>
    <w:p>
      <w:bookmarkStart w:id="mswsncj8pukx0jwm50g" w:name="mswsncj8pukx0jwm50g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八、数据安全与合规声明 </w:t>
      </w:r>
      <w:bookmarkEnd w:id="mswsncj8pukx0jwm50g"/>
    </w:p>
    <w:p>
      <w:pPr>
        <w:spacing w:line="276" w:lineRule="auto"/>
      </w:pPr>
      <w:r>
        <w:t xml:space="preserve">请勾选确认：</w:t>
      </w:r>
    </w:p>
    <w:p>
      <w:pPr>
        <w:ind/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☑</w:t>
          </w:r>
        </w:sdtContent>
      </w:sdt>
      <w:r>
        <w:t xml:space="preserve">本课题为全新项目，未以任何形式立项或在其他渠道推进</w:t>
      </w:r>
    </w:p>
    <w:p>
      <w:pPr>
        <w:ind/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☑</w:t>
          </w:r>
        </w:sdtContent>
      </w:sdt>
      <w:r>
        <w:t xml:space="preserve">本课题所提交的全部材料已进行脱敏处理，不包含客户隐私、商业敏感数据</w:t>
      </w:r>
    </w:p>
    <w:p>
      <w:pPr>
        <w:ind/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☑</w:t>
          </w:r>
        </w:sdtContent>
      </w:sdt>
      <w:r>
        <w:t xml:space="preserve">本课题使用的 AI 工具均为公司授权或合规使用的工具</w:t>
      </w:r>
    </w:p>
    <w:p>
      <w:pPr>
        <w:ind/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☑</w:t>
          </w:r>
        </w:sdtContent>
      </w:sdt>
      <w:r>
        <w:t xml:space="preserve">本课题方案为团队原创，不存在抄袭或知识产权争议</w:t>
      </w:r>
    </w:p>
    <w:p>
      <w:pPr>
        <w:ind/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☑</w:t>
          </w:r>
        </w:sdtContent>
      </w:sdt>
      <w:r>
        <w:t xml:space="preserve">本课题所填写的数据真实有效，可接受后续核验</w:t>
      </w:r>
    </w:p>
    <w:p>
      <w:pPr>
        <w:ind/>
      </w:pPr>
      <w:sdt>
        <w:sdtPr>
          <w14:checkbox>
            <w14:checked w14:val="1"/>
            <w14:checkedState w14:val="2611" w14:font="MS Gothic"/>
            <w14:uncheckedState w14:val="2610" w14:font="MS Gothic"/>
          </w14:checkbox>
        </w:sdtPr>
        <w:sdtContent>
          <w:r>
            <w:rPr>
              <w:rFonts w:ascii="MS Gothic" w:hAnsi="MS Gothic" w:eastAsia="MS Gothic" w:hint="eastAsia"/>
            </w:rPr>
            <w:t xml:space="preserve">☑</w:t>
          </w:r>
        </w:sdtContent>
      </w:sdt>
      <w:r>
        <w:t xml:space="preserve">同意参赛作品知识产权归顺丰集团所有，团队享有署名权</w:t>
      </w:r>
    </w:p>
    <w:p>
      <w:pPr>
        <w:pBdr>
          <w:top w:val="single" w:sz="12" w:space="0" w:color="DFAB01"/>
        </w:pBdr>
      </w:pPr>
    </w:p>
    <w:p>
      <w:bookmarkStart w:id="mswsncj9098yll3pri0t" w:name="mswsncj9098yll3pri0t"/>
      <w:pPr>
        <w:pStyle w:val="dingding-heading2"/>
        <w:spacing w:line="276" w:lineRule="auto"/>
        <w:jc w:val="left"/>
      </w:pPr>
      <w:r>
        <w:rPr>
          <w:rFonts/>
          <w:color w:val="C69400"/>
          <w:b w:val="0"/>
        </w:rPr>
      </w:r>
      <w:r>
        <w:t xml:space="preserve">[火箭]</w:t>
      </w:r>
      <w:r>
        <w:rPr>
          <w:rFonts/>
          <w:color w:val="C69400"/>
          <w:b w:val="0"/>
        </w:rPr>
        <w:t xml:space="preserve">  九、补充说明 </w:t>
      </w:r>
      <w:bookmarkEnd w:id="mswsncj9098yll3pri0t"/>
    </w:p>
    <w:p>
      <w:pPr>
        <w:spacing w:line="276" w:lineRule="auto"/>
      </w:pPr>
      <w:r>
        <w:t xml:space="preserve">如有其他需要说明的内容，请在此补充。</w:t>
      </w:r>
    </w:p>
    <w:p>
      <w:pPr>
        <w:spacing w:line="276" w:lineRule="auto"/>
      </w:pPr>
      <w:r/>
    </w:p>
    <w:p>
      <w:pPr>
        <w:pBdr>
          <w:top w:val="single" w:sz="12" w:space="0" w:color="DFAB01"/>
        </w:pBdr>
      </w:pPr>
    </w:p>
    <w:p>
      <w:pPr>
        <w:spacing w:line="276" w:lineRule="auto"/>
      </w:pPr>
      <w:r>
        <w:rPr>
          <w:b w:val="1"/>
        </w:rPr>
        <w:t xml:space="preserve">提报单位</w:t>
      </w:r>
      <w:r>
        <w:t xml:space="preserve">：</w:t>
      </w:r>
    </w:p>
    <w:p>
      <w:pPr>
        <w:spacing w:line="276" w:lineRule="auto"/>
      </w:pPr>
      <w:r>
        <w:rPr>
          <w:b w:val="1"/>
        </w:rPr>
        <w:t xml:space="preserve">提报日期</w:t>
      </w:r>
      <w:r>
        <w:t xml:space="preserve">：</w:t>
      </w:r>
    </w:p>
    <w:p>
      <w:pPr>
        <w:spacing w:line="276" w:lineRule="auto"/>
      </w:pPr>
      <w:r>
        <w:rPr>
          <w:b w:val="1"/>
        </w:rPr>
        <w:t xml:space="preserve">联系人</w:t>
      </w:r>
      <w:r>
        <w:t xml:space="preserve">：</w:t>
      </w:r>
    </w:p>
    <w:p>
      <w:pPr>
        <w:spacing w:line="276" w:lineRule="auto"/>
      </w:pPr>
      <w:r>
        <w:rPr>
          <w:b w:val="1"/>
        </w:rPr>
        <w:t xml:space="preserve">联系方式</w:t>
      </w:r>
      <w:r>
        <w:t xml:space="preserve">：</w:t>
      </w:r>
    </w:p>
    <w:p>
      <w:pPr/>
      <w:r/>
    </w:p>
    <w:p>
      <w:pPr/>
      <w:r/>
    </w:p>
    <w:p>
      <w:pPr>
        <w:pBdr>
          <w:top w:val="single" w:sz="12" w:space="0" w:color="DFAB01"/>
        </w:pBdr>
      </w:pPr>
    </w:p>
    <w:p>
      <w:bookmarkStart w:id="mswtgu5nhnq4iefe8gn" w:name="mswtgu5nhnq4iefe8gn"/>
      <w:pPr>
        <w:pStyle w:val="dingding-heading2"/>
        <w:spacing w:line="223.99999999999997"/>
      </w:pPr>
      <w:r>
        <w:rPr>
          <w:sz w:val="36"/>
          <w:b w:val="1"/>
        </w:rPr>
        <w:t xml:space="preserve">附录：</w:t>
      </w:r>
      <w:bookmarkEnd w:id="mswtgu5nhnq4iefe8gn"/>
    </w:p>
    <w:p>
      <w:bookmarkStart w:id="msslaofklfg97om7dmp" w:name="msslaofklfg97om7dmp"/>
      <w:pPr>
        <w:pStyle w:val="dingding-heading4"/>
        <w:spacing w:line="223.99999999999997"/>
      </w:pPr>
      <w:r>
        <w:rPr>
          <w:sz w:val="27"/>
          <w:rFonts w:ascii="&quot;Alibaba PuHuiTi 3.0&quot;" w:hAnsi="&quot;Alibaba PuHuiTi 3.0&quot;" w:cs="&quot;Alibaba PuHuiTi 3.0&quot;" w:eastAsia="&quot;Alibaba PuHuiTi 3.0&quot;"/>
          <w:b w:val="1"/>
        </w:rPr>
        <w:t xml:space="preserve">01 赛道说明</w:t>
      </w:r>
      <w:bookmarkEnd w:id="msslaofklfg97om7dmp"/>
    </w:p>
    <w:tbl>
      <w:tblPr>
        <w:tblStyle w:val="TableGrid"/>
        <w:tblW w:w="5000" w:type="pct"/>
      </w:tblPr>
      <w:tblGrid>
        <w:gridCol w:w="1657"/>
        <w:gridCol w:w="1835"/>
        <w:gridCol w:w="6316"/>
        <w:gridCol w:w="4935"/>
      </w:tblGrid>
      <w:tr>
        <w:trPr>
          <w:trHeight w:val="360"/>
        </w:trPr>
        <w:tc>
          <w:tcPr>
            <w:tcW w:w="1657" w:type="dxa"/>
            <w:vAlign w:val="center"/>
            <w:shd w:val="clear" w:color="auto" w:fill="FEF6E9"/>
          </w:tcPr>
          <w:p>
            <w:pPr/>
            <w:r>
              <w:rPr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赛道类型</w:t>
            </w:r>
          </w:p>
        </w:tc>
        <w:tc>
          <w:tcPr>
            <w:tcW w:w="1835" w:type="dxa"/>
            <w:vAlign w:val="center"/>
            <w:shd w:val="clear" w:color="auto" w:fill="FEF6E9"/>
          </w:tcPr>
          <w:p>
            <w:pPr/>
            <w:r>
              <w:rPr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赛道类型</w:t>
            </w:r>
          </w:p>
        </w:tc>
        <w:tc>
          <w:tcPr>
            <w:tcW w:w="6316" w:type="dxa"/>
            <w:vAlign w:val="center"/>
            <w:shd w:val="clear" w:color="auto" w:fill="FEF6E9"/>
          </w:tcPr>
          <w:p>
            <w:pPr/>
            <w:r>
              <w:rPr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赛道说明</w:t>
            </w:r>
          </w:p>
        </w:tc>
        <w:tc>
          <w:tcPr>
            <w:tcW w:w="4935" w:type="dxa"/>
            <w:vAlign w:val="center"/>
            <w:shd w:val="clear" w:color="auto" w:fill="FEF6E9"/>
          </w:tcPr>
          <w:p>
            <w:pPr>
              <w:ind/>
              <w:jc w:val="left"/>
            </w:pPr>
            <w:r>
              <w:rPr>
                <w:sz w:val="24"/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覆盖典型场景</w:t>
            </w:r>
          </w:p>
        </w:tc>
      </w:tr>
      <w:tr>
        <w:trPr>
          <w:trHeight w:val="576"/>
        </w:trPr>
        <w:tc>
          <w:tcPr>
            <w:tcW w:w="1657" w:type="dxa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个人赛道</w:t>
            </w:r>
          </w:p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  <w:shd w:val="clear" w:color="auto" w:fill="F9DDB2"/>
              </w:rPr>
              <w:t xml:space="preserve">1人</w:t>
            </w:r>
          </w:p>
        </w:tc>
        <w:tc>
          <w:tcPr>
            <w:tcW w:w="1835" w:type="dxa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OPC全链路</w:t>
            </w:r>
          </w:p>
        </w:tc>
        <w:tc>
          <w:tcPr>
            <w:tcW w:w="6316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发掘 AI 时代的"超级个体"，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shd w:val="clear" w:color="auto" w:fill="FCFDFD"/>
                <w:spacing w:val="2"/>
              </w:rPr>
              <w:t xml:space="preserve">强调从发现问题到解决问题端到端闭环，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运用 AI 工具解决个人提效问题</w:t>
            </w:r>
          </w:p>
        </w:tc>
        <w:tc>
          <w:tcPr>
            <w:tcW w:w="4935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日常业务办公、全栈科技等个人提效场景（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shd w:val="clear" w:color="auto" w:fill="FCFDFD"/>
                <w:spacing w:val="2"/>
              </w:rPr>
              <w:t xml:space="preserve">全链路运营、全链路服务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）</w:t>
            </w:r>
          </w:p>
        </w:tc>
      </w:tr>
      <w:tr>
        <w:trPr>
          <w:trHeight w:val="576"/>
        </w:trPr>
        <w:tc>
          <w:tcPr>
            <w:tcW w:w="1657" w:type="dxa"/>
            <w:vMerge w:val="restart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团队赛道</w:t>
            </w:r>
          </w:p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  <w:shd w:val="clear" w:color="auto" w:fill="F9DDB2"/>
              </w:rPr>
              <w:t xml:space="preserve">2-4人</w:t>
            </w:r>
          </w:p>
        </w:tc>
        <w:tc>
          <w:tcPr>
            <w:tcW w:w="1835" w:type="dxa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产品创新</w:t>
            </w:r>
          </w:p>
        </w:tc>
        <w:tc>
          <w:tcPr>
            <w:tcW w:w="6316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面向产出产品工具的团队，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以产品化为导向，打造可复用的 AI 产品或增值服务开发</w:t>
            </w:r>
          </w:p>
        </w:tc>
        <w:tc>
          <w:tcPr>
            <w:tcW w:w="4935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AI 产品功能创新、数据产品等</w:t>
            </w:r>
          </w:p>
        </w:tc>
      </w:tr>
      <w:tr>
        <w:trPr>
          <w:trHeight w:val="445"/>
        </w:trPr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&quot;Alibaba PuHuiTi 2.0&quot;" w:hAnsi="&quot;Alibaba PuHuiTi 2.0&quot;" w:cs="&quot;Alibaba PuHuiTi 2.0&quot;" w:eastAsia="&quot;Alibaba PuHuiTi 2.0&quot;"/>
              </w:rPr>
            </w:r>
          </w:p>
        </w:tc>
        <w:tc>
          <w:tcPr>
            <w:tcW w:w="1835" w:type="dxa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运营创新</w:t>
            </w:r>
          </w:p>
        </w:tc>
        <w:tc>
          <w:tcPr>
            <w:tcW w:w="6316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面向通过流程优化实现提效降本的团队，重点评估 AI 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在减少重复性工作、降低运营风险方面的成效</w:t>
            </w:r>
          </w:p>
        </w:tc>
        <w:tc>
          <w:tcPr>
            <w:tcW w:w="4935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异动客户跟踪智能体效率提升、高价值任务干预效率提升、XX区线索跟进可视化管控等</w:t>
            </w:r>
          </w:p>
        </w:tc>
      </w:tr>
      <w:tr>
        <w:trPr>
          <w:trHeight w:val="576"/>
        </w:trPr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&quot;Alibaba PuHuiTi 2.0&quot;" w:hAnsi="&quot;Alibaba PuHuiTi 2.0&quot;" w:cs="&quot;Alibaba PuHuiTi 2.0&quot;" w:eastAsia="&quot;Alibaba PuHuiTi 2.0&quot;"/>
              </w:rPr>
            </w:r>
          </w:p>
        </w:tc>
        <w:tc>
          <w:tcPr>
            <w:tcW w:w="1835" w:type="dxa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业务创新</w:t>
            </w:r>
          </w:p>
        </w:tc>
        <w:tc>
          <w:tcPr>
            <w:tcW w:w="6316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面向在某个领域找到新增长点、通过优化资源配置直接创造业务价值的团队，</w:t>
            </w: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评估 AI 对核心业务增收的直接贡献</w:t>
            </w:r>
          </w:p>
        </w:tc>
        <w:tc>
          <w:tcPr>
            <w:tcW w:w="4935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X行业锁定核心客户直接带来 XX 收益、特色经济包材高损客户效益提升智能体等</w:t>
            </w:r>
          </w:p>
        </w:tc>
      </w:tr>
      <w:tr>
        <w:trPr>
          <w:trHeight w:val="445"/>
        </w:trPr>
        <w:tc>
          <w:tcPr>
            <w:vMerge w:val="continue"/>
            <w:vAlign w:val="center"/>
          </w:tcPr>
          <w:p>
            <w:pPr>
              <w:jc w:val="center"/>
            </w:pPr>
            <w:r>
              <w:rPr>
                <w:rFonts w:ascii="&quot;Alibaba PuHuiTi 2.0&quot;" w:hAnsi="&quot;Alibaba PuHuiTi 2.0&quot;" w:cs="&quot;Alibaba PuHuiTi 2.0&quot;" w:eastAsia="&quot;Alibaba PuHuiTi 2.0&quot;"/>
              </w:rPr>
            </w:r>
          </w:p>
        </w:tc>
        <w:tc>
          <w:tcPr>
            <w:tcW w:w="1835" w:type="dxa"/>
            <w:vAlign w:val="center"/>
          </w:tcPr>
          <w:p>
            <w:pPr>
              <w:jc w:val="center"/>
            </w:pPr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  <w:b w:val="1"/>
              </w:rPr>
              <w:t xml:space="preserve">X 创新</w:t>
            </w:r>
          </w:p>
        </w:tc>
        <w:tc>
          <w:tcPr>
            <w:tcW w:w="6316" w:type="dxa"/>
            <w:vAlign w:val="center"/>
          </w:tcPr>
          <w:p>
            <w:pPr/>
            <w:r>
              <w:rPr>
                <w:sz w:val="18"/>
                <w:rFonts w:ascii="&quot;Alibaba PuHuiTi 2.0&quot;" w:hAnsi="&quot;Alibaba PuHuiTi 2.0&quot;" w:cs="&quot;Alibaba PuHuiTi 2.0&quot;" w:eastAsia="&quot;Alibaba PuHuiTi 2.0&quot;"/>
              </w:rPr>
              <w:t xml:space="preserve">不属于以上三类场景，包括但不限于组合式创新、极客黑科技、跨场景复杂课题等</w:t>
            </w:r>
          </w:p>
        </w:tc>
        <w:tc>
          <w:tcPr>
            <w:tcW w:w="4935" w:type="dxa"/>
            <w:vAlign w:val="center"/>
          </w:tcPr>
          <w:p>
            <w:pPr/>
            <w:r>
              <w:rPr>
                <w:rFonts w:ascii="&quot;Alibaba PuHuiTi 2.0&quot;" w:hAnsi="&quot;Alibaba PuHuiTi 2.0&quot;" w:cs="&quot;Alibaba PuHuiTi 2.0&quot;" w:eastAsia="&quot;Alibaba PuHuiTi 2.0&quot;"/>
              </w:rPr>
            </w:r>
          </w:p>
        </w:tc>
      </w:tr>
    </w:tbl>
    <w:p>
      <w:bookmarkStart w:id="mswtrjug0w3ume2yg5ji" w:name="mswtrjug0w3ume2yg5ji"/>
      <w:pPr>
        <w:pStyle w:val="dingding-heading4"/>
        <w:spacing w:line="223.99999999999997"/>
      </w:pPr>
      <w:r>
        <w:rPr>
          <w:sz w:val="27"/>
          <w:rFonts w:ascii="&quot;Alibaba PuHuiTi 3.0&quot;" w:hAnsi="&quot;Alibaba PuHuiTi 3.0&quot;" w:cs="&quot;Alibaba PuHuiTi 3.0&quot;" w:eastAsia="&quot;Alibaba PuHuiTi 3.0&quot;"/>
          <w:b w:val="1"/>
        </w:rPr>
        <w:t xml:space="preserve">02 评分标准说明</w:t>
      </w:r>
      <w:bookmarkEnd w:id="mswtrjug0w3ume2yg5ji"/>
    </w:p>
    <w:p>
      <w:pPr/>
      <w:r>
        <w:rPr>
          <w:rFonts w:ascii="&quot;Alibaba PuHuiTi 3.0&quot;" w:hAnsi="&quot;Alibaba PuHuiTi 3.0&quot;" w:cs="&quot;Alibaba PuHuiTi 3.0&quot;" w:eastAsia="&quot;Alibaba PuHuiTi 3.0&quot;"/>
        </w:rPr>
        <w:t xml:space="preserve">注：该评分表适用于地区选拔赛及集团总决赛。集团复赛为线上评审，无演绎环节，评分比例将调整为业务价值 35%、技术深度 35%、通用复用 30%</w:t>
      </w:r>
    </w:p>
    <w:tbl>
      <w:tblPr>
        <w:tblStyle w:val="TableGrid"/>
        <w:tblW w:w="0" w:type="pct"/>
      </w:tblPr>
      <w:tblGrid>
        <w:gridCol w:w="1914"/>
        <w:gridCol w:w="1993"/>
        <w:gridCol w:w="10836"/>
      </w:tblGrid>
      <w:tr>
        <w:trPr>
          <w:trHeight w:val="0"/>
        </w:trPr>
        <w:tc>
          <w:tcPr>
            <w:tcW w:w="1914" w:type="dxa"/>
            <w:vAlign w:val="center"/>
            <w:shd w:val="clear" w:color="auto" w:fill="FEF6E9"/>
          </w:tcPr>
          <w:p>
            <w:pPr/>
            <w:r>
              <w:rPr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维度</w:t>
            </w:r>
          </w:p>
        </w:tc>
        <w:tc>
          <w:tcPr>
            <w:tcW w:w="1993" w:type="dxa"/>
            <w:vAlign w:val="center"/>
            <w:shd w:val="clear" w:color="auto" w:fill="FEF6E9"/>
          </w:tcPr>
          <w:p>
            <w:pPr/>
            <w:r>
              <w:rPr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权重</w:t>
            </w:r>
          </w:p>
        </w:tc>
        <w:tc>
          <w:tcPr>
            <w:tcW w:w="10836" w:type="dxa"/>
            <w:vAlign w:val="center"/>
            <w:shd w:val="clear" w:color="auto" w:fill="FEF6E9"/>
          </w:tcPr>
          <w:p>
            <w:pPr/>
            <w:r>
              <w:rPr>
                <w:rFonts w:ascii="&quot;Alibaba PuHuiTi 3.0&quot;" w:hAnsi="&quot;Alibaba PuHuiTi 3.0&quot;" w:cs="&quot;Alibaba PuHuiTi 3.0&quot;" w:eastAsia="&quot;Alibaba PuHuiTi 3.0&quot;"/>
                <w:b w:val="1"/>
              </w:rPr>
              <w:t xml:space="preserve">评分要点</w:t>
            </w:r>
          </w:p>
        </w:tc>
      </w:tr>
      <w:tr>
        <w:trPr>
          <w:trHeight w:val="0"/>
        </w:trPr>
        <w:tc>
          <w:tcPr>
            <w:tcW w:w="1914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业务价值</w:t>
            </w:r>
          </w:p>
        </w:tc>
        <w:tc>
          <w:tcPr>
            <w:tcW w:w="1993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35%</w:t>
            </w:r>
          </w:p>
        </w:tc>
        <w:tc>
          <w:tcPr>
            <w:tcW w:w="10836" w:type="dxa"/>
            <w:vAlign w:val="center"/>
          </w:tcPr>
          <w:p>
            <w:pPr>
              <w:numPr>
                <w:ilvl w:val="0"/>
                <w:numId w:val="10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战略契合度（ 10% ）：是否对齐集团 AI 战略主线：增收/降本/客体/风控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量化业务价值（15%）：量化的提效/降本/增收数据，前后对比真实可验证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影响人群规模（10%）：受益员工/客户规模、覆盖业务流环节数</w:t>
            </w:r>
          </w:p>
        </w:tc>
      </w:tr>
      <w:tr>
        <w:trPr>
          <w:trHeight w:val="0"/>
        </w:trPr>
        <w:tc>
          <w:tcPr>
            <w:tcW w:w="1914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技术深度</w:t>
            </w:r>
          </w:p>
        </w:tc>
        <w:tc>
          <w:tcPr>
            <w:tcW w:w="1993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30%</w:t>
            </w:r>
          </w:p>
        </w:tc>
        <w:tc>
          <w:tcPr>
            <w:tcW w:w="10836" w:type="dxa"/>
            <w:vAlign w:val="center"/>
          </w:tcPr>
          <w:p>
            <w:pPr>
              <w:numPr>
                <w:ilvl w:val="0"/>
                <w:numId w:val="11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方案完整度（15%）：覆盖业务背景-需求痛点分析-解决方案-实施计划、效果评估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可行性/探索性分析（10%）：流畅完成AI应用搭建，功能覆盖完整且体验完善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AI 必要性及应用意义（5%）：验证想法是否可行，以及运用AI工具是否真实必要且实质有效</w:t>
            </w:r>
          </w:p>
        </w:tc>
      </w:tr>
      <w:tr>
        <w:trPr>
          <w:trHeight w:val="0"/>
        </w:trPr>
        <w:tc>
          <w:tcPr>
            <w:tcW w:w="1914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通用复用</w:t>
            </w:r>
          </w:p>
        </w:tc>
        <w:tc>
          <w:tcPr>
            <w:tcW w:w="1993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25%</w:t>
            </w:r>
          </w:p>
        </w:tc>
        <w:tc>
          <w:tcPr>
            <w:tcW w:w="10836" w:type="dxa"/>
            <w:vAlign w:val="center"/>
          </w:tcPr>
          <w:p>
            <w:pPr>
              <w:numPr>
                <w:ilvl w:val="0"/>
                <w:numId w:val="12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跨业务可复用性（10%）：能否被其他业务线/区域稍加改造直接使用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创新性（10%）：方案具有创新点，是否解决了业务环节中的典型问题或长期瓶颈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持续迭代潜力（5%）：方案版本演进能力、调优机制、开放性</w:t>
            </w:r>
          </w:p>
        </w:tc>
      </w:tr>
      <w:tr>
        <w:trPr>
          <w:trHeight w:val="0"/>
        </w:trPr>
        <w:tc>
          <w:tcPr>
            <w:tcW w:w="1914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现场演绎</w:t>
            </w:r>
          </w:p>
        </w:tc>
        <w:tc>
          <w:tcPr>
            <w:tcW w:w="1993" w:type="dxa"/>
            <w:vAlign w:val="center"/>
          </w:tcPr>
          <w:p>
            <w:pPr/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10%</w:t>
            </w:r>
          </w:p>
        </w:tc>
        <w:tc>
          <w:tcPr>
            <w:tcW w:w="10836" w:type="dxa"/>
            <w:vAlign w:val="center"/>
          </w:tcPr>
          <w:p>
            <w:pPr>
              <w:numPr>
                <w:ilvl w:val="0"/>
                <w:numId w:val="13"/>
              </w:numPr>
            </w:pPr>
            <w:r>
              <w:rPr>
                <w:sz w:val="20"/>
                <w:rFonts w:ascii="&quot;Alibaba PuHuiTi 3.0&quot;" w:hAnsi="&quot;Alibaba PuHuiTi 3.0&quot;" w:cs="&quot;Alibaba PuHuiTi 3.0&quot;" w:eastAsia="&quot;Alibaba PuHuiTi 3.0&quot;"/>
              </w:rPr>
              <w:t xml:space="preserve">故事性、表达逻辑、Demo 流畅度</w:t>
            </w:r>
          </w:p>
        </w:tc>
      </w:tr>
    </w:tbl>
    <w:p>
      <w:bookmarkStart w:id="mt28u509z2s6oa15cpc" w:name="mt28u509z2s6oa15cpc"/>
      <w:pPr>
        <w:pStyle w:val="dingding-heading4"/>
        <w:spacing w:line="223.99999999999997"/>
      </w:pPr>
      <w:r>
        <w:rPr>
          <w:sz w:val="27"/>
          <w:rFonts w:ascii="&quot;Alibaba PuHuiTi 3.0&quot;" w:hAnsi="&quot;Alibaba PuHuiTi 3.0&quot;" w:cs="&quot;Alibaba PuHuiTi 3.0&quot;" w:eastAsia="&quot;Alibaba PuHuiTi 3.0&quot;"/>
          <w:b w:val="1"/>
        </w:rPr>
        <w:t xml:space="preserve">03 接口人清单</w:t>
      </w:r>
      <w:bookmarkEnd w:id="mt28u509z2s6oa15cpc"/>
    </w:p>
    <w:p>
      <w:hyperlink r:id="rId46">
        <w:r>
          <w:rPr>
            <w:rStyle w:val="hyperlink"/>
          </w:rPr>
          <w:t xml:space="preserve">https://sf-alidocs.dingtalk.com/aitable/share/view/v01ybEnB5NVLBpwRlP1_oo9uaXX_T2yFpXT?dd_full_screen=true: https://sf-alidocs.dingtalk.com/aitable/share/view/v01ybEnB5NVLBpwRlP1_oo9uaXX_T2yFpXT?dd_full_screen=true</w:t>
        </w:r>
      </w:hyperlink>
      <w:r/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3">
    <w:abstractNumId w:val="12"/>
  </w:num>
  <w:num w:numId="9">
    <w:abstractNumId w:val="8"/>
  </w:num>
  <w:num w:numId="10">
    <w:abstractNumId w:val="9"/>
  </w:num>
  <w:num w:numId="4">
    <w:abstractNumId w:val="3"/>
  </w:num>
  <w:num w:numId="3">
    <w:abstractNumId w:val="2"/>
  </w:num>
  <w:num w:numId="5">
    <w:abstractNumId w:val="4"/>
  </w:num>
  <w:num w:numId="6">
    <w:abstractNumId w:val="5"/>
  </w:num>
  <w:num w:numId="11">
    <w:abstractNumId w:val="10"/>
  </w:num>
  <w:num w:numId="2">
    <w:abstractNumId w:val="1"/>
  </w:num>
  <w:num w:numId="1">
    <w:abstractNumId w:val="0"/>
  </w:num>
  <w:num w:numId="7">
    <w:abstractNumId w:val="6"/>
  </w:num>
  <w:num w:numId="12">
    <w:abstractNumId w:val="11"/>
  </w:num>
  <w:num w:numId="8">
    <w:abstractNumId w:val="7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jpg" />
  <Relationship Id="rId5" Type="http://schemas.openxmlformats.org/officeDocument/2006/relationships/image" Target="media/image2.jpg" />
  <Relationship Id="rId6" Type="http://schemas.openxmlformats.org/officeDocument/2006/relationships/image" Target="media/image3.jpg" />
  <Relationship Id="rId7" Type="http://schemas.openxmlformats.org/officeDocument/2006/relationships/image" Target="media/image4.jpg" />
  <Relationship Id="rId8" Type="http://schemas.openxmlformats.org/officeDocument/2006/relationships/image" Target="media/image5.jpg" />
  <Relationship Id="rId9" Type="http://schemas.openxmlformats.org/officeDocument/2006/relationships/image" Target="media/image6.jpg" />
  <Relationship Id="rId10" Type="http://schemas.openxmlformats.org/officeDocument/2006/relationships/image" Target="media/image7.jpg" />
  <Relationship Id="rId11" Type="http://schemas.openxmlformats.org/officeDocument/2006/relationships/image" Target="media/image8.jpg" />
  <Relationship Id="rId12" Type="http://schemas.openxmlformats.org/officeDocument/2006/relationships/image" Target="media/image9.jpg" />
  <Relationship Id="rId13" Type="http://schemas.openxmlformats.org/officeDocument/2006/relationships/image" Target="media/image10.jpg" />
  <Relationship Id="rId14" Type="http://schemas.openxmlformats.org/officeDocument/2006/relationships/image" Target="media/image11.jpg" />
  <Relationship Id="rId15" Type="http://schemas.openxmlformats.org/officeDocument/2006/relationships/image" Target="media/image12.jpg" />
  <Relationship Id="rId16" Type="http://schemas.openxmlformats.org/officeDocument/2006/relationships/image" Target="media/image13.jpg" />
  <Relationship Id="rId17" Type="http://schemas.openxmlformats.org/officeDocument/2006/relationships/image" Target="media/image14.jpg" />
  <Relationship Id="rId18" Type="http://schemas.openxmlformats.org/officeDocument/2006/relationships/image" Target="media/image15.jpg" />
  <Relationship Id="rId19" Type="http://schemas.openxmlformats.org/officeDocument/2006/relationships/image" Target="media/image16.jpg" />
  <Relationship Id="rId20" Type="http://schemas.openxmlformats.org/officeDocument/2006/relationships/image" Target="media/image17.jpg" />
  <Relationship Id="rId21" Type="http://schemas.openxmlformats.org/officeDocument/2006/relationships/image" Target="media/image18.jpg" />
  <Relationship Id="rId22" Type="http://schemas.openxmlformats.org/officeDocument/2006/relationships/image" Target="media/image19.jpg" />
  <Relationship Id="rId23" Type="http://schemas.openxmlformats.org/officeDocument/2006/relationships/image" Target="media/image20.jpg" />
  <Relationship Id="rId24" Type="http://schemas.openxmlformats.org/officeDocument/2006/relationships/image" Target="media/image21.jpg" />
  <Relationship Id="rId25" Type="http://schemas.openxmlformats.org/officeDocument/2006/relationships/image" Target="media/image22.jpg" />
  <Relationship Id="rId26" Type="http://schemas.openxmlformats.org/officeDocument/2006/relationships/image" Target="media/image23.jpg" />
  <Relationship Id="rId27" Type="http://schemas.openxmlformats.org/officeDocument/2006/relationships/image" Target="media/image24.jpg" />
  <Relationship Id="rId28" Type="http://schemas.openxmlformats.org/officeDocument/2006/relationships/image" Target="media/image25.jpg" />
  <Relationship Id="rId29" Type="http://schemas.openxmlformats.org/officeDocument/2006/relationships/image" Target="media/image26.jpg" />
  <Relationship Id="rId30" Type="http://schemas.openxmlformats.org/officeDocument/2006/relationships/image" Target="media/image27.jpg" />
  <Relationship Id="rId31" Type="http://schemas.openxmlformats.org/officeDocument/2006/relationships/image" Target="media/image28.jpg" />
  <Relationship Id="rId32" Type="http://schemas.openxmlformats.org/officeDocument/2006/relationships/image" Target="media/image29.jpg" />
  <Relationship Id="rId33" Type="http://schemas.openxmlformats.org/officeDocument/2006/relationships/image" Target="media/image30.jpg" />
  <Relationship Id="rId34" Type="http://schemas.openxmlformats.org/officeDocument/2006/relationships/image" Target="media/image31.jpg" />
  <Relationship Id="rId35" Type="http://schemas.openxmlformats.org/officeDocument/2006/relationships/image" Target="media/image32.jpg" />
  <Relationship Id="rId36" Type="http://schemas.openxmlformats.org/officeDocument/2006/relationships/image" Target="media/image33.jpg" />
  <Relationship Id="rId37" Type="http://schemas.openxmlformats.org/officeDocument/2006/relationships/image" Target="media/image34.jpg" />
  <Relationship Id="rId38" Type="http://schemas.openxmlformats.org/officeDocument/2006/relationships/image" Target="media/image35.jpg" />
  <Relationship Id="rId39" Type="http://schemas.openxmlformats.org/officeDocument/2006/relationships/image" Target="media/image36.jpg" />
  <Relationship Id="rId40" Type="http://schemas.openxmlformats.org/officeDocument/2006/relationships/image" Target="media/image37.jpg" />
  <Relationship Id="rId41" Type="http://schemas.openxmlformats.org/officeDocument/2006/relationships/image" Target="media/image38.jpg" />
  <Relationship Id="rId42" Type="http://schemas.openxmlformats.org/officeDocument/2006/relationships/hyperlink" Target="https://sf-alidocs.dingtalk.com/i/nodes/14dA3GK8gjp7xqGeIExv1zQwJ9ekBD76?iframeQuery=anchorId%3DX02mtv9z7q2j5eiujr1kas" TargetMode="External" />
  <Relationship Id="rId43" Type="http://schemas.openxmlformats.org/officeDocument/2006/relationships/hyperlink" Target="https://cdbi.sf-express.com/v2/#/agent-bi?agentId=73f4c7633ccc47f5ad8d36f3fc310976" TargetMode="External" />
  <Relationship Id="rId44" Type="http://schemas.openxmlformats.org/officeDocument/2006/relationships/hyperlink" Target="https://sf-alidocs.dingtalk.com/i/nodes/14dA3GK8gjp7xqGeIExv1zQwJ9ekBD76?iframeQuery=anchorId%3DX02mtvakce5vue8rbjh0eo" TargetMode="External" />
  <Relationship Id="rId45" Type="http://schemas.openxmlformats.org/officeDocument/2006/relationships/hyperlink" Target="https://sf-alidocs.dingtalk.com/i/nodes/14dA3GK8gjp7xqGeIExv1zQwJ9ekBD76?iframeQuery=anchorId%3DX02mtvandyjddu8xkqum1" TargetMode="External" />
  <Relationship Id="rId46" Type="http://schemas.openxmlformats.org/officeDocument/2006/relationships/hyperlink" Target="https://sf-alidocs.dingtalk.com/aitable/share/view/v01ybEnB5NVLBpwRlP1_oo9uaXX_T2yFpXT?dd_full_screen=tru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