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color w:val="2E74B5"/>
          <w:sz w:val="22"/>
        </w:rPr>
        <w:t>评审介绍与项目总纲</w:t>
      </w:r>
    </w:p>
    <w:p>
      <w:pPr>
        <w:spacing w:before="1160"/>
        <w:jc w:val="center"/>
      </w:pPr>
      <w:r>
        <w:rPr>
          <w:rFonts w:ascii="Calibri" w:hAnsi="Calibri" w:eastAsia="微软雅黑"/>
          <w:color w:val="263238"/>
          <w:sz w:val="56"/>
        </w:rPr>
        <w:t>ATP-Navigator</w:t>
      </w:r>
    </w:p>
    <w:p>
      <w:pPr>
        <w:spacing w:after="280"/>
        <w:jc w:val="center"/>
      </w:pPr>
      <w:r>
        <w:rPr>
          <w:rFonts w:ascii="Calibri" w:hAnsi="Calibri" w:eastAsia="微软雅黑"/>
          <w:color w:val="263238"/>
          <w:sz w:val="36"/>
        </w:rPr>
        <w:t>基于真实鲍曼不动杆菌 ATP 合酶筛选证据的</w:t>
        <w:br/>
        <w:t>AI 增强候选优先级决策系统</w:t>
      </w:r>
    </w:p>
    <w:p>
      <w:pPr>
        <w:jc w:val="center"/>
      </w:pPr>
      <w:r>
        <w:rPr>
          <w:rFonts w:ascii="Calibri" w:hAnsi="Calibri" w:eastAsia="微软雅黑"/>
          <w:color w:val="5F6B73"/>
          <w:sz w:val="22"/>
        </w:rPr>
        <w:t>从 Schrödinger 虚拟筛选，到可追溯数据资产、AI排序与实验决策</w:t>
      </w:r>
    </w:p>
    <w:p>
      <w:pPr>
        <w:spacing w:before="1900"/>
        <w:jc w:val="center"/>
      </w:pPr>
      <w:r>
        <w:rPr>
          <w:rFonts w:ascii="Calibri" w:hAnsi="Calibri" w:eastAsia="微软雅黑"/>
        </w:rPr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top w:val="single" w:sz="2" w:color="2E74B5"/>
              <w:left w:val="single" w:sz="8" w:color="2E74B5"/>
              <w:bottom w:val="single" w:sz="2" w:color="2E74B5"/>
              <w:right w:val="single" w:sz="2" w:color="2E74B5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项目一句话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ATP-Navigator 不替代 Schrödinger，也不宣称已经发现新药；它把真实虚拟筛选中分散的结构、Docking、ADMET、MM/GBSA、MD与外部知识转化为可追溯、可解释、可复现的候选优先级，并为下一步实验验证给出明确队列。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Calibri" w:hAnsi="Calibri" w:eastAsia="微软雅黑"/>
          <w:color w:val="5F6B73"/>
          <w:sz w:val="18"/>
        </w:rPr>
        <w:t>内部版本 v1.0  ·  2026年8月24日</w:t>
      </w:r>
    </w:p>
    <w:p>
      <w:pPr>
        <w:jc w:val="center"/>
      </w:pPr>
      <w:r>
        <w:rPr>
          <w:rFonts w:ascii="Calibri" w:hAnsi="Calibri" w:eastAsia="微软雅黑"/>
          <w:color w:val="9C3D2E"/>
          <w:sz w:val="18"/>
        </w:rPr>
        <w:t>证据边界：截至本文生成日，内部候选尚无ATP酶活性、MIC或实验毒性结果。</w:t>
      </w:r>
    </w:p>
    <w:p>
      <w:pPr>
        <w:pStyle w:val="Heading1"/>
      </w:pPr>
      <w:r>
        <w:t>评委先看这一页：我们最终要讲什么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E"/>
            <w:tcBorders>
              <w:top w:val="single" w:sz="2" w:color="3E7C59"/>
              <w:left w:val="single" w:sz="8" w:color="3E7C59"/>
              <w:bottom w:val="single" w:sz="2" w:color="3E7C59"/>
              <w:right w:val="single" w:sz="2" w:color="3E7C59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最终选题决定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ATP-Navigator：基于真实鲍曼不动杆菌 ATP 合酶筛选证据的 AI 增强候选优先级决策系统。英文副标题：ATP-Navigator: An AI-enhanced candidate prioritization and evidence-integration system for Acinetobacter baumannii ATP synthase virtual screening.</w:t>
            </w:r>
          </w:p>
        </w:tc>
      </w:tr>
    </w:tbl>
    <w:p>
      <w:pPr>
        <w:spacing w:after="0"/>
      </w:pPr>
    </w:p>
    <w:p>
      <w:pPr>
        <w:pStyle w:val="Heading2"/>
      </w:pPr>
      <w:r>
        <w:t>为什么不是“AI药物发现平台”</w:t>
      </w:r>
    </w:p>
    <w:p>
      <w:pPr>
        <w:pStyle w:val="ListBullet"/>
      </w:pPr>
      <w:r>
        <w:rPr>
          <w:rFonts w:ascii="Calibri" w:hAnsi="Calibri" w:eastAsia="微软雅黑"/>
        </w:rPr>
        <w:t>项目起点不是空白数据或通用平台，而是一套真实的 Schrödinger 虚拟筛选、MD/MMGBSA、ADMET与候选化学表征案例。</w:t>
      </w:r>
    </w:p>
    <w:p>
      <w:pPr>
        <w:pStyle w:val="ListBullet"/>
      </w:pPr>
      <w:r>
        <w:rPr>
          <w:rFonts w:ascii="Calibri" w:hAnsi="Calibri" w:eastAsia="微软雅黑"/>
        </w:rPr>
        <w:t>内部监督标签仍是同协议静态 MM/GBSA 计算值，不是MIC、IC50或真实生物活性；因此AI应被定义为候选排序优化器，而不是新药发现器。</w:t>
      </w:r>
    </w:p>
    <w:p>
      <w:pPr>
        <w:pStyle w:val="ListBullet"/>
      </w:pPr>
      <w:r>
        <w:rPr>
          <w:rFonts w:ascii="Calibri" w:hAnsi="Calibri" w:eastAsia="微软雅黑"/>
        </w:rPr>
        <w:t>项目最有价值的创新，是把原本依赖单个评分和人工判断的流程，升级为身份门控、标签隔离、骨架隔离评价、外部知识先验和透明多目标决策。</w:t>
      </w:r>
    </w:p>
    <w:p>
      <w:pPr>
        <w:pStyle w:val="Heading2"/>
      </w:pPr>
      <w:r>
        <w:t>核心科学问题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top w:val="single" w:sz="2" w:color="C18B2C"/>
              <w:left w:val="single" w:sz="8" w:color="C18B2C"/>
              <w:bottom w:val="single" w:sz="2" w:color="C18B2C"/>
              <w:right w:val="single" w:sz="2" w:color="C18B2C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科学问题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在小样本、异构计算证据且尚缺实验标签的真实虚拟筛选项目中，能否通过可追溯的数据资产化、按骨架隔离的AI排序和透明多目标决策，使候选优先级比单一Docking更一致、可解释、可复现，并输出可检验的实验队列？</w:t>
            </w:r>
          </w:p>
        </w:tc>
      </w:tr>
    </w:tbl>
    <w:p>
      <w:pPr>
        <w:spacing w:after="0"/>
      </w:pPr>
    </w:p>
    <w:p>
      <w:pPr>
        <w:pStyle w:val="Heading2"/>
      </w:pPr>
      <w:r>
        <w:t>一条完整故事线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536"/>
        <w:gridCol w:w="4378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时间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发生了什么</w:t>
            </w:r>
          </w:p>
        </w:tc>
        <w:tc>
          <w:tcPr>
            <w:tcW w:type="dxa" w:w="43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它在整体项目中的意义</w:t>
            </w:r>
          </w:p>
        </w:tc>
      </w:tr>
      <w:tr>
        <w:tc>
          <w:tcPr>
            <w:tcW w:type="dxa" w:w="93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过去</w:t>
            </w:r>
          </w:p>
        </w:tc>
        <w:tc>
          <w:tcPr>
            <w:tcW w:type="dxa" w:w="453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教师提供的真实科研基础：7P3W靶点、IN-2、Schrödinger筛选、17个候选、ADMET、MD/MMGBSA、Hit3化学表征</w:t>
            </w:r>
          </w:p>
        </w:tc>
        <w:tc>
          <w:tcPr>
            <w:tcW w:type="dxa" w:w="437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形成真实问题、真实计算证据和首个候选</w:t>
            </w:r>
          </w:p>
        </w:tc>
      </w:tr>
      <w:tr>
        <w:tc>
          <w:tcPr>
            <w:tcW w:type="dxa" w:w="93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现在</w:t>
            </w:r>
          </w:p>
        </w:tc>
        <w:tc>
          <w:tcPr>
            <w:tcW w:type="dxa" w:w="453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团队完成数据资产化、Model v0-v3、Decision Engine、敏感性与外部验证门控</w:t>
            </w:r>
          </w:p>
        </w:tc>
        <w:tc>
          <w:tcPr>
            <w:tcW w:type="dxa" w:w="437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把单次科研流程变成可审计的AI增强排序系统</w:t>
            </w:r>
          </w:p>
        </w:tc>
      </w:tr>
      <w:tr>
        <w:tc>
          <w:tcPr>
            <w:tcW w:type="dxa" w:w="93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下一步</w:t>
            </w:r>
          </w:p>
        </w:tc>
        <w:tc>
          <w:tcPr>
            <w:tcW w:type="dxa" w:w="453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冻结候选与协议，开展ATP酶功能、MIC/MBC、毒性/选择性和独立前瞻验证</w:t>
            </w:r>
          </w:p>
        </w:tc>
        <w:tc>
          <w:tcPr>
            <w:tcW w:type="dxa" w:w="437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把计算优先级转化为可验证结论，完成计算—实验闭环</w:t>
            </w:r>
          </w:p>
        </w:tc>
      </w:tr>
    </w:tbl>
    <w:p>
      <w:pPr>
        <w:spacing w:after="0"/>
      </w:pPr>
    </w:p>
    <w:p>
      <w:pPr>
        <w:pStyle w:val="Heading1"/>
      </w:pPr>
      <w:r>
        <w:t>1. 项目起点：一套真实的ATP合酶虚拟筛选研究</w:t>
      </w:r>
    </w:p>
    <w:p>
      <w:pPr>
        <w:pStyle w:val="Heading2"/>
      </w:pPr>
      <w:r>
        <w:t>1.1 靶点与研究假设</w:t>
      </w:r>
    </w:p>
    <w:p>
      <w:r>
        <w:rPr>
          <w:rFonts w:ascii="Calibri" w:hAnsi="Calibri" w:eastAsia="微软雅黑"/>
        </w:rPr>
        <w:t>项目聚焦鲍曼不动杆菌 F1F0-ATP synthase。原始研究使用 PDB 结构 7P3W，并在 Fo 区及其邻近亚基界面识别潜在小分子结合位点，以已知参考抑制剂 IN-2 作为结构改造与计算评价起点。[S1][S2]</w:t>
      </w:r>
    </w:p>
    <w:p>
      <w:r>
        <w:rPr>
          <w:rFonts w:ascii="Calibri" w:hAnsi="Calibri" w:eastAsia="微软雅黑"/>
        </w:rPr>
        <w:t>研究假设不是“AI凭空生成抗菌药”，而是：围绕已有参考配体构建和筛选衍生结构，寻找在计算结合、性质和动态稳定性上更值得优先验证的候选。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2854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图1  原始PPT中的靶点结构、Fo区域及潜在结合位点（来源：[S1]）。图为历史研究证据，不代表实验结合已验证。</w:t>
      </w:r>
    </w:p>
    <w:p>
      <w:pPr>
        <w:pStyle w:val="Heading2"/>
      </w:pPr>
      <w:r>
        <w:t>1.2 原始计算链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536"/>
        <w:gridCol w:w="4594"/>
      </w:tblGrid>
      <w:tr>
        <w:trPr>
          <w:tblHeader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步骤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原始工作</w:t>
            </w:r>
          </w:p>
        </w:tc>
        <w:tc>
          <w:tcPr>
            <w:tcW w:type="dxa" w:w="4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当前可确认状态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453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蛋白与IN-2准备、位点识别、XP对接</w:t>
            </w:r>
          </w:p>
        </w:tc>
        <w:tc>
          <w:tcPr>
            <w:tcW w:type="dxa" w:w="459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有PPT、结构和分析输出支撑</w:t>
            </w:r>
          </w:p>
        </w:tc>
      </w:tr>
      <w:tr>
        <w:tc>
          <w:tcPr>
            <w:tcW w:type="dxa" w:w="72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2</w:t>
            </w:r>
          </w:p>
        </w:tc>
        <w:tc>
          <w:tcPr>
            <w:tcW w:type="dxa" w:w="453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IN-2 100 ns Desmond MD与末10 ns MM/GBSA</w:t>
            </w:r>
          </w:p>
        </w:tc>
        <w:tc>
          <w:tcPr>
            <w:tcW w:type="dxa" w:w="459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可读分析结果；原始XTC轨迹不完整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3</w:t>
            </w:r>
          </w:p>
        </w:tc>
        <w:tc>
          <w:tcPr>
            <w:tcW w:type="dxa" w:w="453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基于IN-2的衍生结构枚举与QuickProp/ADMET预筛</w:t>
            </w:r>
          </w:p>
        </w:tc>
        <w:tc>
          <w:tcPr>
            <w:tcW w:type="dxa" w:w="459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当前仅回收部分可读HTVS片段，不能把规划规模当成完整数据</w:t>
            </w:r>
          </w:p>
        </w:tc>
      </w:tr>
      <w:tr>
        <w:tc>
          <w:tcPr>
            <w:tcW w:type="dxa" w:w="72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4</w:t>
            </w:r>
          </w:p>
        </w:tc>
        <w:tc>
          <w:tcPr>
            <w:tcW w:type="dxa" w:w="453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HTVS→SP→XP→Prime MM/GBSA</w:t>
            </w:r>
          </w:p>
        </w:tc>
        <w:tc>
          <w:tcPr>
            <w:tcW w:type="dxa" w:w="459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形成17个可确认最终候选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5</w:t>
            </w:r>
          </w:p>
        </w:tc>
        <w:tc>
          <w:tcPr>
            <w:tcW w:type="dxa" w:w="453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预测毒性比较后选择Hit3，开展100 ns MD/MMGBSA</w:t>
            </w:r>
          </w:p>
        </w:tc>
        <w:tc>
          <w:tcPr>
            <w:tcW w:type="dxa" w:w="459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有计算分析；不等于生物活性验证</w:t>
            </w:r>
          </w:p>
        </w:tc>
      </w:tr>
      <w:tr>
        <w:tc>
          <w:tcPr>
            <w:tcW w:type="dxa" w:w="72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6</w:t>
            </w:r>
          </w:p>
        </w:tc>
        <w:tc>
          <w:tcPr>
            <w:tcW w:type="dxa" w:w="453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Hit3的1H NMR与LC-MS表征</w:t>
            </w:r>
          </w:p>
        </w:tc>
        <w:tc>
          <w:tcPr>
            <w:tcW w:type="dxa" w:w="459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支持化学身份表征；不等于纯度、活性或机制确认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color w:val="9C3D2E"/>
        </w:rPr>
        <w:t>原始PPT曾用约10⁵量级描述衍生库规划；当前审计仅从可读HTVS片段恢复4,373条变体、1,633个化合物代码，且004–006片段不完整。因此本文不把“十万级完整训练集”作为现有成果。</w:t>
      </w:r>
    </w:p>
    <w:p>
      <w:pPr>
        <w:pStyle w:val="Heading1"/>
      </w:pPr>
      <w:r>
        <w:t>2. 传统流程得到什么，又留下什么问题</w:t>
      </w:r>
    </w:p>
    <w:p>
      <w:pPr>
        <w:pStyle w:val="Heading2"/>
      </w:pPr>
      <w:r>
        <w:t>2.1 已有科研结果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3096"/>
        <w:gridCol w:w="2866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证据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对象/规模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可支持的结论</w:t>
            </w:r>
          </w:p>
        </w:tc>
        <w:tc>
          <w:tcPr>
            <w:tcW w:type="dxa" w:w="28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不能支持的结论</w:t>
            </w:r>
          </w:p>
        </w:tc>
      </w:tr>
      <w:tr>
        <w:tc>
          <w:tcPr>
            <w:tcW w:type="dxa" w:w="165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静态MM/GBSA</w:t>
            </w:r>
          </w:p>
        </w:tc>
        <w:tc>
          <w:tcPr>
            <w:tcW w:type="dxa" w:w="223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17个候选；Hit1至Hit17</w:t>
            </w:r>
          </w:p>
        </w:tc>
        <w:tc>
          <w:tcPr>
            <w:tcW w:type="dxa" w:w="309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同一计算协议下的相对结合能排序</w:t>
            </w:r>
          </w:p>
        </w:tc>
        <w:tc>
          <w:tcPr>
            <w:tcW w:type="dxa" w:w="286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真实亲和力、MIC或IC50</w:t>
            </w:r>
          </w:p>
        </w:tc>
      </w:tr>
      <w:tr>
        <w:tc>
          <w:tcPr>
            <w:tcW w:type="dxa" w:w="165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MD/MMGBSA</w:t>
            </w:r>
          </w:p>
        </w:tc>
        <w:tc>
          <w:tcPr>
            <w:tcW w:type="dxa" w:w="223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IN-2与Hit3，各100 ns分析；末10 ns各1000帧MM/GBSA</w:t>
            </w:r>
          </w:p>
        </w:tc>
        <w:tc>
          <w:tcPr>
            <w:tcW w:type="dxa" w:w="309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两个案例的动态稳定性与相互作用分析</w:t>
            </w:r>
          </w:p>
        </w:tc>
        <w:tc>
          <w:tcPr>
            <w:tcW w:type="dxa" w:w="286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17个候选的通用MD模型</w:t>
            </w:r>
          </w:p>
        </w:tc>
      </w:tr>
      <w:tr>
        <w:tc>
          <w:tcPr>
            <w:tcW w:type="dxa" w:w="165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ADMET预测</w:t>
            </w:r>
          </w:p>
        </w:tc>
        <w:tc>
          <w:tcPr>
            <w:tcW w:type="dxa" w:w="223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IN-2+17候选；27个二分类终点及汇总</w:t>
            </w:r>
          </w:p>
        </w:tc>
        <w:tc>
          <w:tcPr>
            <w:tcW w:type="dxa" w:w="309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计算层面的风险比较</w:t>
            </w:r>
          </w:p>
        </w:tc>
        <w:tc>
          <w:tcPr>
            <w:tcW w:type="dxa" w:w="286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实验毒性或成药性确认</w:t>
            </w:r>
          </w:p>
        </w:tc>
      </w:tr>
      <w:tr>
        <w:tc>
          <w:tcPr>
            <w:tcW w:type="dxa" w:w="165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化学表征</w:t>
            </w:r>
          </w:p>
        </w:tc>
        <w:tc>
          <w:tcPr>
            <w:tcW w:type="dxa" w:w="223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Hit3：1H NMR（两种溶剂）与LC-MS</w:t>
            </w:r>
          </w:p>
        </w:tc>
        <w:tc>
          <w:tcPr>
            <w:tcW w:type="dxa" w:w="309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候选身份的化学证据</w:t>
            </w:r>
          </w:p>
        </w:tc>
        <w:tc>
          <w:tcPr>
            <w:tcW w:type="dxa" w:w="286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生物活性、选择性或药效</w:t>
            </w:r>
          </w:p>
        </w:tc>
      </w:tr>
    </w:tbl>
    <w:p>
      <w:pPr>
        <w:spacing w:after="0"/>
      </w:pPr>
    </w:p>
    <w:p>
      <w:pPr>
        <w:pStyle w:val="Heading2"/>
      </w:pPr>
      <w:r>
        <w:t>2.2 传统人工优先级</w:t>
      </w:r>
    </w:p>
    <w:p>
      <w:r>
        <w:rPr>
          <w:rFonts w:ascii="Calibri" w:hAnsi="Calibri" w:eastAsia="微软雅黑"/>
        </w:rPr>
        <w:t>17个候选中，Hit1、Hit2和Hit3的静态MM/GBSA均处于前列。原始研究没有机械地选择最低MM/GBSA，而是综合预测毒性，将Hit3作为后续合成/表征与MD对象。这一步体现了真实科研判断：候选优先级本来就是多目标问题。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top w:val="single" w:sz="2" w:color="C18B2C"/>
              <w:left w:val="single" w:sz="8" w:color="C18B2C"/>
              <w:bottom w:val="single" w:sz="2" w:color="C18B2C"/>
              <w:right w:val="single" w:sz="2" w:color="C18B2C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关键矛盾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如果Docking、MM/GBSA、ADMET、外部ATP抑制剂知识和分子性质给出不同信号，应该由哪个指标决定“先做谁”？人工判断可以做一次，但难以审计、复现和系统比较。ATP-Navigator正是为解决这个问题而生。</w:t>
            </w:r>
          </w:p>
        </w:tc>
      </w:tr>
    </w:tbl>
    <w:p>
      <w:pPr>
        <w:spacing w:after="0"/>
      </w:pPr>
    </w:p>
    <w:p>
      <w:pPr>
        <w:pStyle w:val="Heading2"/>
      </w:pPr>
      <w:r>
        <w:t>2.3 原始流程的四个痛点</w:t>
      </w:r>
    </w:p>
    <w:p>
      <w:pPr>
        <w:pStyle w:val="ListBullet"/>
      </w:pPr>
      <w:r>
        <w:rPr>
          <w:rFonts w:ascii="Calibri" w:hAnsi="Calibri" w:eastAsia="微软雅黑"/>
        </w:rPr>
        <w:t>单一评分局限：Docking score与MM/GBSA量纲和排序可能不一致，且都不是实验活性。</w:t>
      </w:r>
    </w:p>
    <w:p>
      <w:pPr>
        <w:pStyle w:val="ListBullet"/>
      </w:pPr>
      <w:r>
        <w:rPr>
          <w:rFonts w:ascii="Calibri" w:hAnsi="Calibri" w:eastAsia="微软雅黑"/>
        </w:rPr>
        <w:t>数据割裂：结构、别名、HTVS、QuickProp、ADMET、MD和表征文件分散，化合物身份容易错配。</w:t>
      </w:r>
    </w:p>
    <w:p>
      <w:pPr>
        <w:pStyle w:val="ListBullet"/>
      </w:pPr>
      <w:r>
        <w:rPr>
          <w:rFonts w:ascii="Calibri" w:hAnsi="Calibri" w:eastAsia="微软雅黑"/>
        </w:rPr>
        <w:t>样本稀少：只有17个身份确认内部候选适合严格比较，无法支撑复杂深度学习。</w:t>
      </w:r>
    </w:p>
    <w:p>
      <w:pPr>
        <w:pStyle w:val="ListBullet"/>
      </w:pPr>
      <w:r>
        <w:rPr>
          <w:rFonts w:ascii="Calibri" w:hAnsi="Calibri" w:eastAsia="微软雅黑"/>
        </w:rPr>
        <w:t>验证缺口：尚无ATP酶抑制、MIC/MBC、实验毒性与独立前瞻性测试集。</w:t>
      </w:r>
    </w:p>
    <w:p>
      <w:r>
        <w:rPr>
          <w:rFonts w:ascii="Calibri" w:hAnsi="Calibri" w:eastAsia="微软雅黑"/>
        </w:rPr>
        <w:t>由此，项目从“再做一个更复杂的对接流程”转向“建立一个对证据负责的候选决策层”。</w:t>
      </w:r>
    </w:p>
    <w:p>
      <w:pPr>
        <w:pStyle w:val="Heading1"/>
      </w:pPr>
      <w:r>
        <w:t>3. 项目转型：AI不是替代计算，而是优化决策</w:t>
      </w:r>
    </w:p>
    <w:p>
      <w:pPr>
        <w:pStyle w:val="Heading2"/>
      </w:pPr>
      <w:r>
        <w:t>3.1 系统定位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E"/>
            <w:tcBorders>
              <w:top w:val="single" w:sz="2" w:color="3E7C59"/>
              <w:left w:val="single" w:sz="8" w:color="3E7C59"/>
              <w:bottom w:val="single" w:sz="2" w:color="3E7C59"/>
              <w:right w:val="single" w:sz="2" w:color="3E7C59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系统定义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ATP-Navigator 是建立在真实 Schrödinger 筛选结果之上的 AI 增强型候选优先级排序与多目标决策系统。它学习已有计算筛选规律、融合异构证据、输出可解释优先级，并保留缺失项和不确定性。</w:t>
            </w:r>
          </w:p>
        </w:tc>
      </w:tr>
    </w:tbl>
    <w:p>
      <w:pPr>
        <w:spacing w:after="0"/>
      </w:pPr>
    </w:p>
    <w:p>
      <w:pPr>
        <w:pStyle w:val="Heading2"/>
      </w:pPr>
      <w:r>
        <w:t>3.2 系统边界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ATP-Navigator 做什么</w:t>
            </w:r>
          </w:p>
        </w:tc>
        <w:tc>
          <w:tcPr>
            <w:tcW w:type="dxa" w:w="4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ATP-Navigator 不做什么</w:t>
            </w:r>
          </w:p>
        </w:tc>
      </w:tr>
      <w:tr>
        <w:tc>
          <w:tcPr>
            <w:tcW w:type="dxa" w:w="492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读取并标准化真实筛选资产</w:t>
            </w:r>
          </w:p>
        </w:tc>
        <w:tc>
          <w:tcPr>
            <w:tcW w:type="dxa" w:w="492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不替代Schrödinger、MD或实验</w:t>
            </w:r>
          </w:p>
        </w:tc>
      </w:tr>
      <w:tr>
        <w:tc>
          <w:tcPr>
            <w:tcW w:type="dxa" w:w="4925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学习静态MM/GBSA相对排序规律</w:t>
            </w:r>
          </w:p>
        </w:tc>
        <w:tc>
          <w:tcPr>
            <w:tcW w:type="dxa" w:w="4925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不把MM/GBSA称为真实活性</w:t>
            </w:r>
          </w:p>
        </w:tc>
      </w:tr>
      <w:tr>
        <w:tc>
          <w:tcPr>
            <w:tcW w:type="dxa" w:w="492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融合结构、对接、ADMET和外部知识</w:t>
            </w:r>
          </w:p>
        </w:tc>
        <w:tc>
          <w:tcPr>
            <w:tcW w:type="dxa" w:w="492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不把MIC、IC50、MM/GBSA混成一个标签</w:t>
            </w:r>
          </w:p>
        </w:tc>
      </w:tr>
      <w:tr>
        <w:tc>
          <w:tcPr>
            <w:tcW w:type="dxa" w:w="4925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用透明权重输出候选优先级和置信度</w:t>
            </w:r>
          </w:p>
        </w:tc>
        <w:tc>
          <w:tcPr>
            <w:tcW w:type="dxa" w:w="4925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不把Final Score解释为成功概率</w:t>
            </w:r>
          </w:p>
        </w:tc>
      </w:tr>
      <w:tr>
        <w:tc>
          <w:tcPr>
            <w:tcW w:type="dxa" w:w="492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对权重、数据泄漏和外部验证做门控</w:t>
            </w:r>
          </w:p>
        </w:tc>
        <w:tc>
          <w:tcPr>
            <w:tcW w:type="dxa" w:w="492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不在证据不足时生成看似完整的结果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1788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anking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788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图2  当前AI排序工作流：身份确认是进入模型的第一道门，输出是计算优先级而非活性预测。</w:t>
      </w:r>
    </w:p>
    <w:p>
      <w:pPr>
        <w:pStyle w:val="Heading2"/>
      </w:pPr>
      <w:r>
        <w:t>3.3 真正的创新点</w:t>
      </w:r>
    </w:p>
    <w:p>
      <w:pPr>
        <w:pStyle w:val="ListBullet"/>
      </w:pPr>
      <w:r>
        <w:rPr>
          <w:rFonts w:ascii="Calibri" w:hAnsi="Calibri" w:eastAsia="微软雅黑"/>
        </w:rPr>
        <w:t>问题创新：把“选哪个分子做实验”定义为多证据排序与决策问题。</w:t>
      </w:r>
    </w:p>
    <w:p>
      <w:pPr>
        <w:pStyle w:val="ListBullet"/>
      </w:pPr>
      <w:r>
        <w:rPr>
          <w:rFonts w:ascii="Calibri" w:hAnsi="Calibri" w:eastAsia="微软雅黑"/>
        </w:rPr>
        <w:t>数据创新：用canonical ID和来源文件建立证据链，无法确认的映射保持unknown。</w:t>
      </w:r>
    </w:p>
    <w:p>
      <w:pPr>
        <w:pStyle w:val="ListBullet"/>
      </w:pPr>
      <w:r>
        <w:rPr>
          <w:rFonts w:ascii="Calibri" w:hAnsi="Calibri" w:eastAsia="微软雅黑"/>
        </w:rPr>
        <w:t>方法创新：用传统机器学习建立可解释、可复现baseline，再引入外部知识和相似性特征；不在17个样本上追求复杂模型。</w:t>
      </w:r>
    </w:p>
    <w:p>
      <w:pPr>
        <w:pStyle w:val="ListBullet"/>
      </w:pPr>
      <w:r>
        <w:rPr>
          <w:rFonts w:ascii="Calibri" w:hAnsi="Calibri" w:eastAsia="微软雅黑"/>
        </w:rPr>
        <w:t>评价创新：按Bemis–Murcko scaffold分组做OOF评价，避免同骨架泄漏；同时报告Top-k与整体排序。</w:t>
      </w:r>
    </w:p>
    <w:p>
      <w:pPr>
        <w:pStyle w:val="ListBullet"/>
      </w:pPr>
      <w:r>
        <w:rPr>
          <w:rFonts w:ascii="Calibri" w:hAnsi="Calibri" w:eastAsia="微软雅黑"/>
        </w:rPr>
        <w:t>科研诚信：外部benchmark不可独立评价时明确输出empty，而不是补假特征或制造指标。</w:t>
      </w:r>
    </w:p>
    <w:p>
      <w:pPr>
        <w:pStyle w:val="Heading1"/>
      </w:pPr>
      <w:r>
        <w:t>4. 我们已经完成的系统</w:t>
      </w:r>
    </w:p>
    <w:p>
      <w:pPr>
        <w:pStyle w:val="Heading2"/>
      </w:pPr>
      <w:r>
        <w:t>4.1 数据资产化：从文件堆到证据注册表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952"/>
        <w:gridCol w:w="3053"/>
        <w:gridCol w:w="2333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数据版本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规模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用途</w:t>
            </w:r>
          </w:p>
        </w:tc>
        <w:tc>
          <w:tcPr>
            <w:tcW w:type="dxa" w:w="23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关键边界</w:t>
            </w:r>
          </w:p>
        </w:tc>
      </w:tr>
      <w:tr>
        <w:tc>
          <w:tcPr>
            <w:tcW w:type="dxa" w:w="151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Dataset v0.1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1,659 molecule records；4,410 screening records；2个MD systems</w:t>
            </w:r>
          </w:p>
        </w:tc>
        <w:tc>
          <w:tcPr>
            <w:tcW w:type="dxa" w:w="305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原始文件、分子身份和计算证据资产化</w:t>
            </w:r>
          </w:p>
        </w:tc>
        <w:tc>
          <w:tcPr>
            <w:tcW w:type="dxa" w:w="233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包含不完整、派生和unknown状态</w:t>
            </w:r>
          </w:p>
        </w:tc>
      </w:tr>
      <w:tr>
        <w:tc>
          <w:tcPr>
            <w:tcW w:type="dxa" w:w="151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Dataset v0.2</w:t>
            </w:r>
          </w:p>
        </w:tc>
        <w:tc>
          <w:tcPr>
            <w:tcW w:type="dxa" w:w="295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17个身份确认候选；11个scaffold；1,089个Model 2特征</w:t>
            </w:r>
          </w:p>
        </w:tc>
        <w:tc>
          <w:tcPr>
            <w:tcW w:type="dxa" w:w="3053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内部静态MM/GBSA排序训练与评价</w:t>
            </w:r>
          </w:p>
        </w:tc>
        <w:tc>
          <w:tcPr>
            <w:tcW w:type="dxa" w:w="2333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标签不是实验活性</w:t>
            </w:r>
          </w:p>
        </w:tc>
      </w:tr>
      <w:tr>
        <w:tc>
          <w:tcPr>
            <w:tcW w:type="dxa" w:w="151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Dataset v1.0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6,754行；2,329个unique compound IDs</w:t>
            </w:r>
          </w:p>
        </w:tc>
        <w:tc>
          <w:tcPr>
            <w:tcW w:type="dxa" w:w="305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三层外部/内部知识注册表</w:t>
            </w:r>
          </w:p>
        </w:tc>
        <w:tc>
          <w:tcPr>
            <w:tcW w:type="dxa" w:w="233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端点隔离，不直接混合训练</w:t>
            </w:r>
          </w:p>
        </w:tc>
      </w:tr>
    </w:tbl>
    <w:p>
      <w:pPr>
        <w:spacing w:after="0"/>
      </w:pPr>
    </w:p>
    <w:p>
      <w:pPr>
        <w:pStyle w:val="Heading2"/>
      </w:pPr>
      <w:r>
        <w:t>4.2 三层知识体系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672"/>
        <w:gridCol w:w="3240"/>
        <w:gridCol w:w="1858"/>
      </w:tblGrid>
      <w:tr>
        <w:trPr>
          <w:tblHeader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内容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学习目标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是否直接决定内部排名</w:t>
            </w:r>
          </w:p>
        </w:tc>
      </w:tr>
      <w:tr>
        <w:tc>
          <w:tcPr>
            <w:tcW w:type="dxa" w:w="10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Layer 1</w:t>
            </w:r>
          </w:p>
        </w:tc>
        <w:tc>
          <w:tcPr>
            <w:tcW w:type="dxa" w:w="367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6,355条Gram-negative antibacterial MIC记录</w:t>
            </w:r>
          </w:p>
        </w:tc>
        <w:tc>
          <w:tcPr>
            <w:tcW w:type="dxa" w:w="32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学习抗菌化学空间与whole-cell先验</w:t>
            </w:r>
          </w:p>
        </w:tc>
        <w:tc>
          <w:tcPr>
            <w:tcW w:type="dxa" w:w="185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否；形成隔离的外部先验</w:t>
            </w:r>
          </w:p>
        </w:tc>
      </w:tr>
      <w:tr>
        <w:tc>
          <w:tcPr>
            <w:tcW w:type="dxa" w:w="108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Layer 2</w:t>
            </w:r>
          </w:p>
        </w:tc>
        <w:tc>
          <w:tcPr>
            <w:tcW w:type="dxa" w:w="367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363条ATP synthase inhibitor/相关端点记录</w:t>
            </w:r>
          </w:p>
        </w:tc>
        <w:tc>
          <w:tcPr>
            <w:tcW w:type="dxa" w:w="32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学习ATP靶点专项知识</w:t>
            </w:r>
          </w:p>
        </w:tc>
        <w:tc>
          <w:tcPr>
            <w:tcW w:type="dxa" w:w="185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否；端点、物种和单位必须分层</w:t>
            </w:r>
          </w:p>
        </w:tc>
      </w:tr>
      <w:tr>
        <w:tc>
          <w:tcPr>
            <w:tcW w:type="dxa" w:w="10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Layer 3</w:t>
            </w:r>
          </w:p>
        </w:tc>
        <w:tc>
          <w:tcPr>
            <w:tcW w:type="dxa" w:w="367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36条内部项目计算证据记录</w:t>
            </w:r>
          </w:p>
        </w:tc>
        <w:tc>
          <w:tcPr>
            <w:tcW w:type="dxa" w:w="32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服务17个内部候选的最终排序</w:t>
            </w:r>
          </w:p>
        </w:tc>
        <w:tc>
          <w:tcPr>
            <w:tcW w:type="dxa" w:w="185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是；但仍属于计算证据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</w:rPr>
        <w:t>关键身份工作：Hit3、Top-3、466、ATP-Top1-MD2已映射到同一个canonical ID。这类映射只在有结构或来源证据时建立；无法确认的HTVS/MMGBSA代码不按名字或行号强行连接。</w:t>
      </w:r>
    </w:p>
    <w:p>
      <w:pPr>
        <w:pStyle w:val="Heading2"/>
      </w:pPr>
      <w:r>
        <w:t>4.3 当前工程模块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6394"/>
      </w:tblGrid>
      <w:tr>
        <w:trPr>
          <w:tblHeader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模块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状态</w:t>
            </w:r>
          </w:p>
        </w:tc>
        <w:tc>
          <w:tcPr>
            <w:tcW w:type="dxa" w:w="6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核心产物</w:t>
            </w:r>
          </w:p>
        </w:tc>
      </w:tr>
      <w:tr>
        <w:tc>
          <w:tcPr>
            <w:tcW w:type="dxa" w:w="151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数据层</w:t>
            </w:r>
          </w:p>
        </w:tc>
        <w:tc>
          <w:tcPr>
            <w:tcW w:type="dxa" w:w="194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已完成初版</w:t>
            </w:r>
          </w:p>
        </w:tc>
        <w:tc>
          <w:tcPr>
            <w:tcW w:type="dxa" w:w="639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manifest、molecules、screening records、systems、Dataset v0.2/v1.0</w:t>
            </w:r>
          </w:p>
        </w:tc>
      </w:tr>
      <w:tr>
        <w:tc>
          <w:tcPr>
            <w:tcW w:type="dxa" w:w="151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模型层</w:t>
            </w:r>
          </w:p>
        </w:tc>
        <w:tc>
          <w:tcPr>
            <w:tcW w:type="dxa" w:w="194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Model v0-v3均保留</w:t>
            </w:r>
          </w:p>
        </w:tc>
        <w:tc>
          <w:tcPr>
            <w:tcW w:type="dxa" w:w="639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Docking、LightGBM baseline、外部知识增强、Feature-enhanced ranking</w:t>
            </w:r>
          </w:p>
        </w:tc>
      </w:tr>
      <w:tr>
        <w:tc>
          <w:tcPr>
            <w:tcW w:type="dxa" w:w="151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决策层</w:t>
            </w:r>
          </w:p>
        </w:tc>
        <w:tc>
          <w:tcPr>
            <w:tcW w:type="dxa" w:w="194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Phase 5已运行</w:t>
            </w:r>
          </w:p>
        </w:tc>
        <w:tc>
          <w:tcPr>
            <w:tcW w:type="dxa" w:w="639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透明权重、综合排序、置信度、候选解释</w:t>
            </w:r>
          </w:p>
        </w:tc>
      </w:tr>
      <w:tr>
        <w:tc>
          <w:tcPr>
            <w:tcW w:type="dxa" w:w="151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稳健性</w:t>
            </w:r>
          </w:p>
        </w:tc>
        <w:tc>
          <w:tcPr>
            <w:tcW w:type="dxa" w:w="194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Phase 6A已运行</w:t>
            </w:r>
          </w:p>
        </w:tc>
        <w:tc>
          <w:tcPr>
            <w:tcW w:type="dxa" w:w="639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权重敏感性、Spearman/Kendall、Top-k一致性、消融</w:t>
            </w:r>
          </w:p>
        </w:tc>
      </w:tr>
      <w:tr>
        <w:tc>
          <w:tcPr>
            <w:tcW w:type="dxa" w:w="151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外部验证</w:t>
            </w:r>
          </w:p>
        </w:tc>
        <w:tc>
          <w:tcPr>
            <w:tcW w:type="dxa" w:w="194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Phase 6B接口完成</w:t>
            </w:r>
          </w:p>
        </w:tc>
        <w:tc>
          <w:tcPr>
            <w:tcW w:type="dxa" w:w="639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标准化、去重、Morgan2048、泄漏门控；当前metrics=empty</w:t>
            </w:r>
          </w:p>
        </w:tc>
      </w:tr>
    </w:tbl>
    <w:p>
      <w:pPr>
        <w:spacing w:after="0"/>
      </w:pPr>
    </w:p>
    <w:p>
      <w:pPr>
        <w:pStyle w:val="Heading1"/>
      </w:pPr>
      <w:r>
        <w:t>5. 模型如何一步步演化</w:t>
      </w:r>
    </w:p>
    <w:p>
      <w:r>
        <w:rPr>
          <w:rFonts w:ascii="Calibri" w:hAnsi="Calibri" w:eastAsia="微软雅黑"/>
        </w:rPr>
        <w:t>所有模型围绕同一任务：优化17个内部候选相对静态MM/GBSA的计算排序。旧模型和结果均保留为对照；没有把模型版本迭代写成真实活性提升。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888"/>
        <w:gridCol w:w="3384"/>
        <w:gridCol w:w="1354"/>
      </w:tblGrid>
      <w:tr>
        <w:trPr>
          <w:tblHeader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版本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算法/输入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作用</w:t>
            </w:r>
          </w:p>
        </w:tc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状态</w:t>
            </w:r>
          </w:p>
        </w:tc>
      </w:tr>
      <w:tr>
        <w:tc>
          <w:tcPr>
            <w:tcW w:type="dxa" w:w="122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Model v0</w:t>
            </w:r>
          </w:p>
        </w:tc>
        <w:tc>
          <w:tcPr>
            <w:tcW w:type="dxa" w:w="388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原始Docking排序</w:t>
            </w:r>
          </w:p>
        </w:tc>
        <w:tc>
          <w:tcPr>
            <w:tcW w:type="dxa" w:w="338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传统计算对照组</w:t>
            </w:r>
          </w:p>
        </w:tc>
        <w:tc>
          <w:tcPr>
            <w:tcW w:type="dxa" w:w="135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保留</w:t>
            </w:r>
          </w:p>
        </w:tc>
      </w:tr>
      <w:tr>
        <w:tc>
          <w:tcPr>
            <w:tcW w:type="dxa" w:w="122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Model v1</w:t>
            </w:r>
          </w:p>
        </w:tc>
        <w:tc>
          <w:tcPr>
            <w:tcW w:type="dxa" w:w="388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LightGBM；Morgan1024 + RDKit10 + ADMET_SUM</w:t>
            </w:r>
          </w:p>
        </w:tc>
        <w:tc>
          <w:tcPr>
            <w:tcW w:type="dxa" w:w="338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证明传统ML可学习现有计算排序规律</w:t>
            </w:r>
          </w:p>
        </w:tc>
        <w:tc>
          <w:tcPr>
            <w:tcW w:type="dxa" w:w="135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保留</w:t>
            </w:r>
          </w:p>
        </w:tc>
      </w:tr>
      <w:tr>
        <w:tc>
          <w:tcPr>
            <w:tcW w:type="dxa" w:w="122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Model v2</w:t>
            </w:r>
          </w:p>
        </w:tc>
        <w:tc>
          <w:tcPr>
            <w:tcW w:type="dxa" w:w="388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v1增强特征 + 4个隔离外部知识prior</w:t>
            </w:r>
          </w:p>
        </w:tc>
        <w:tc>
          <w:tcPr>
            <w:tcW w:type="dxa" w:w="338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把抗菌与ATP相关外部知识引入内部排序</w:t>
            </w:r>
          </w:p>
        </w:tc>
        <w:tc>
          <w:tcPr>
            <w:tcW w:type="dxa" w:w="135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保留</w:t>
            </w:r>
          </w:p>
        </w:tc>
      </w:tr>
      <w:tr>
        <w:tc>
          <w:tcPr>
            <w:tcW w:type="dxa" w:w="122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Model v3</w:t>
            </w:r>
          </w:p>
        </w:tc>
        <w:tc>
          <w:tcPr>
            <w:tcW w:type="dxa" w:w="388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LightGBM；1,128特征：Morgan、RDKit16、相似性、Docking、QuickProp、ADMET、外部prior</w:t>
            </w:r>
          </w:p>
        </w:tc>
        <w:tc>
          <w:tcPr>
            <w:tcW w:type="dxa" w:w="338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当前监督排序主模型</w:t>
            </w:r>
          </w:p>
        </w:tc>
        <w:tc>
          <w:tcPr>
            <w:tcW w:type="dxa" w:w="135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当前</w:t>
            </w:r>
          </w:p>
        </w:tc>
      </w:tr>
    </w:tbl>
    <w:p>
      <w:pPr>
        <w:spacing w:after="0"/>
      </w:pPr>
    </w:p>
    <w:p>
      <w:pPr>
        <w:pStyle w:val="Heading2"/>
      </w:pPr>
      <w:r>
        <w:t>5.1 公平比较结果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1440"/>
        <w:gridCol w:w="1440"/>
        <w:gridCol w:w="1944"/>
        <w:gridCol w:w="1786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模型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Spearman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RMSE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NDCG@5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Top-5 enrichment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Hit recovery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v0 Docking</w:t>
            </w:r>
          </w:p>
        </w:tc>
        <w:tc>
          <w:tcPr>
            <w:tcW w:type="dxa" w:w="14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-0.5319</w:t>
            </w:r>
          </w:p>
        </w:tc>
        <w:tc>
          <w:tcPr>
            <w:tcW w:type="dxa" w:w="14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40.2317*</w:t>
            </w:r>
          </w:p>
        </w:tc>
        <w:tc>
          <w:tcPr>
            <w:tcW w:type="dxa" w:w="14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0.2747</w:t>
            </w:r>
          </w:p>
        </w:tc>
        <w:tc>
          <w:tcPr>
            <w:tcW w:type="dxa" w:w="194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0.68</w:t>
            </w:r>
          </w:p>
        </w:tc>
        <w:tc>
          <w:tcPr>
            <w:tcW w:type="dxa" w:w="178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0.20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v1 baseline</w:t>
            </w:r>
          </w:p>
        </w:tc>
        <w:tc>
          <w:tcPr>
            <w:tcW w:type="dxa" w:w="14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0.5984</w:t>
            </w:r>
          </w:p>
        </w:tc>
        <w:tc>
          <w:tcPr>
            <w:tcW w:type="dxa" w:w="14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6.7001</w:t>
            </w:r>
          </w:p>
        </w:tc>
        <w:tc>
          <w:tcPr>
            <w:tcW w:type="dxa" w:w="14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0.7877</w:t>
            </w:r>
          </w:p>
        </w:tc>
        <w:tc>
          <w:tcPr>
            <w:tcW w:type="dxa" w:w="194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1.36</w:t>
            </w:r>
          </w:p>
        </w:tc>
        <w:tc>
          <w:tcPr>
            <w:tcW w:type="dxa" w:w="178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0.40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v2 external</w:t>
            </w:r>
          </w:p>
        </w:tc>
        <w:tc>
          <w:tcPr>
            <w:tcW w:type="dxa" w:w="14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0.7574</w:t>
            </w:r>
          </w:p>
        </w:tc>
        <w:tc>
          <w:tcPr>
            <w:tcW w:type="dxa" w:w="14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4.9226</w:t>
            </w:r>
          </w:p>
        </w:tc>
        <w:tc>
          <w:tcPr>
            <w:tcW w:type="dxa" w:w="14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0.7744</w:t>
            </w:r>
          </w:p>
        </w:tc>
        <w:tc>
          <w:tcPr>
            <w:tcW w:type="dxa" w:w="194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1.36</w:t>
            </w:r>
          </w:p>
        </w:tc>
        <w:tc>
          <w:tcPr>
            <w:tcW w:type="dxa" w:w="178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0.40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v3 enhanced</w:t>
            </w:r>
          </w:p>
        </w:tc>
        <w:tc>
          <w:tcPr>
            <w:tcW w:type="dxa" w:w="14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0.7696</w:t>
            </w:r>
          </w:p>
        </w:tc>
        <w:tc>
          <w:tcPr>
            <w:tcW w:type="dxa" w:w="14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4.8877</w:t>
            </w:r>
          </w:p>
        </w:tc>
        <w:tc>
          <w:tcPr>
            <w:tcW w:type="dxa" w:w="14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0.7782</w:t>
            </w:r>
          </w:p>
        </w:tc>
        <w:tc>
          <w:tcPr>
            <w:tcW w:type="dxa" w:w="194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1.36</w:t>
            </w:r>
          </w:p>
        </w:tc>
        <w:tc>
          <w:tcPr>
            <w:tcW w:type="dxa" w:w="178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0.40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</w:rPr>
        <w:t>* Docking-only RMSE是Glide score与MM/GBSA的跨量纲差，只作形式对照，不能解释为校准误差。Model v1-v3采用11折Leave-One-Scaffold-Group-Out OOF；同一scaffold不跨训练与测试。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top w:val="single" w:sz="2" w:color="C18B2C"/>
              <w:left w:val="single" w:sz="8" w:color="C18B2C"/>
              <w:bottom w:val="single" w:sz="2" w:color="C18B2C"/>
              <w:right w:val="single" w:sz="2" w:color="C18B2C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怎样解读结果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Model v3相较Model v2的Spearman +0.0123、RMSE -0.0349、NDCG@5 +0.0038，但Top-5 enrichment和Hit recovery没有提高；Model v1的NDCG@5甚至略高。17个样本下，这说明“整体排序相关性有所增强”，不说明“Top候选已被可靠识别”。</w:t>
            </w:r>
          </w:p>
        </w:tc>
      </w:tr>
    </w:tbl>
    <w:p>
      <w:pPr>
        <w:spacing w:after="0"/>
      </w:pPr>
    </w:p>
    <w:p>
      <w:pPr>
        <w:pStyle w:val="Heading2"/>
      </w:pPr>
      <w:r>
        <w:t>5.2 为什么暂不开发GNN或Transformer</w:t>
      </w:r>
    </w:p>
    <w:p>
      <w:r>
        <w:rPr>
          <w:rFonts w:ascii="Calibri" w:hAnsi="Calibri" w:eastAsia="微软雅黑"/>
        </w:rPr>
        <w:t>因为主要瓶颈是标签数量和独立验证，而不是模型容量。在17个样本上增加复杂模型更容易放大过拟合和叙事风险。当前最合理的技术选择是：简单模型、严格分组、透明特征、历史基线、明确不确定性。</w:t>
      </w:r>
    </w:p>
    <w:p>
      <w:pPr>
        <w:pStyle w:val="Heading1"/>
      </w:pPr>
      <w:r>
        <w:t>6. 从模型分数到实验决策</w:t>
      </w:r>
    </w:p>
    <w:p>
      <w:pPr>
        <w:pStyle w:val="Heading2"/>
      </w:pPr>
      <w:r>
        <w:t>6.1 Decision Engine</w:t>
      </w:r>
    </w:p>
    <w:p>
      <w:r>
        <w:rPr>
          <w:rFonts w:ascii="Calibri" w:hAnsi="Calibri" w:eastAsia="微软雅黑"/>
        </w:rPr>
        <w:t>Phase 5没有训练Model v4，而是在Model v3和已有证据之上建立透明的多目标决策层。所有分量先转换为当前17个候选批次内的相对分位，再按公开权重合成：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top w:val="single" w:sz="2" w:color="2E74B5"/>
              <w:left w:val="single" w:sz="8" w:color="2E74B5"/>
              <w:bottom w:val="single" w:sz="2" w:color="2E74B5"/>
              <w:right w:val="single" w:sz="2" w:color="2E74B5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默认公式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Final Score = 45% × Binding Score + 25% × ATP Target Score + 15% × Antibacterial Score + 15% × Drug-likeness Score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</w:rPr>
        <w:t>缺失实验数据保留为unknown；计算证据最高置信度被限制为60。Final Score是批次内决策分数，不是活性、成药概率或成功概率。</w:t>
      </w:r>
    </w:p>
    <w:p>
      <w:pPr>
        <w:pStyle w:val="Heading2"/>
      </w:pPr>
      <w:r>
        <w:t>6.2 当前默认Top 5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3240"/>
        <w:gridCol w:w="1296"/>
        <w:gridCol w:w="3154"/>
      </w:tblGrid>
      <w:tr>
        <w:trPr>
          <w:tblHeader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默认顺位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历史别名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canonical ID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Final Score</w:t>
            </w:r>
          </w:p>
        </w:tc>
        <w:tc>
          <w:tcPr>
            <w:tcW w:type="dxa" w:w="3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应如何解释</w:t>
            </w:r>
          </w:p>
        </w:tc>
      </w:tr>
      <w:tr>
        <w:tc>
          <w:tcPr>
            <w:tcW w:type="dxa" w:w="10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Hit2</w:t>
            </w:r>
          </w:p>
        </w:tc>
        <w:tc>
          <w:tcPr>
            <w:tcW w:type="dxa" w:w="32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ATP-SMI-C93E6EC67CDB</w:t>
            </w:r>
          </w:p>
        </w:tc>
        <w:tc>
          <w:tcPr>
            <w:tcW w:type="dxa" w:w="129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73.91</w:t>
            </w:r>
          </w:p>
        </w:tc>
        <w:tc>
          <w:tcPr>
            <w:tcW w:type="dxa" w:w="315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默认多目标方案下优先</w:t>
            </w:r>
          </w:p>
        </w:tc>
      </w:tr>
      <w:tr>
        <w:tc>
          <w:tcPr>
            <w:tcW w:type="dxa" w:w="108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2</w:t>
            </w:r>
          </w:p>
        </w:tc>
        <w:tc>
          <w:tcPr>
            <w:tcW w:type="dxa" w:w="108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Hit1</w:t>
            </w:r>
          </w:p>
        </w:tc>
        <w:tc>
          <w:tcPr>
            <w:tcW w:type="dxa" w:w="32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ATP-SMI-9DA3213A09E8</w:t>
            </w:r>
          </w:p>
        </w:tc>
        <w:tc>
          <w:tcPr>
            <w:tcW w:type="dxa" w:w="129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71.07</w:t>
            </w:r>
          </w:p>
        </w:tc>
        <w:tc>
          <w:tcPr>
            <w:tcW w:type="dxa" w:w="315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权重扰动下最稳定的Top候选</w:t>
            </w:r>
          </w:p>
        </w:tc>
      </w:tr>
      <w:tr>
        <w:tc>
          <w:tcPr>
            <w:tcW w:type="dxa" w:w="10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Hit4</w:t>
            </w:r>
          </w:p>
        </w:tc>
        <w:tc>
          <w:tcPr>
            <w:tcW w:type="dxa" w:w="32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—</w:t>
            </w:r>
          </w:p>
        </w:tc>
        <w:tc>
          <w:tcPr>
            <w:tcW w:type="dxa" w:w="129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62.54</w:t>
            </w:r>
          </w:p>
        </w:tc>
        <w:tc>
          <w:tcPr>
            <w:tcW w:type="dxa" w:w="315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计算优先候选</w:t>
            </w:r>
          </w:p>
        </w:tc>
      </w:tr>
      <w:tr>
        <w:tc>
          <w:tcPr>
            <w:tcW w:type="dxa" w:w="108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4</w:t>
            </w:r>
          </w:p>
        </w:tc>
        <w:tc>
          <w:tcPr>
            <w:tcW w:type="dxa" w:w="108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Hit5</w:t>
            </w:r>
          </w:p>
        </w:tc>
        <w:tc>
          <w:tcPr>
            <w:tcW w:type="dxa" w:w="32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—</w:t>
            </w:r>
          </w:p>
        </w:tc>
        <w:tc>
          <w:tcPr>
            <w:tcW w:type="dxa" w:w="129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62.50</w:t>
            </w:r>
          </w:p>
        </w:tc>
        <w:tc>
          <w:tcPr>
            <w:tcW w:type="dxa" w:w="315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计算优先候选</w:t>
            </w:r>
          </w:p>
        </w:tc>
      </w:tr>
      <w:tr>
        <w:tc>
          <w:tcPr>
            <w:tcW w:type="dxa" w:w="10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Hit6</w:t>
            </w:r>
          </w:p>
        </w:tc>
        <w:tc>
          <w:tcPr>
            <w:tcW w:type="dxa" w:w="32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—</w:t>
            </w:r>
          </w:p>
        </w:tc>
        <w:tc>
          <w:tcPr>
            <w:tcW w:type="dxa" w:w="129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59.95</w:t>
            </w:r>
          </w:p>
        </w:tc>
        <w:tc>
          <w:tcPr>
            <w:tcW w:type="dxa" w:w="315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计算优先候选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</w:rPr>
        <w:t>表中未在当前摘要登记完整canonical ID的条目用“—”表示，避免在介绍文档中猜测。正式实验样品表应从results/final_candidate_ranking.csv直接导出。</w:t>
      </w:r>
    </w:p>
    <w:p>
      <w:pPr>
        <w:pStyle w:val="Heading2"/>
      </w:pPr>
      <w:r>
        <w:t>6.3 为什么Hit3仍然重要</w:t>
      </w:r>
    </w:p>
    <w:p>
      <w:r>
        <w:rPr>
          <w:rFonts w:ascii="Calibri" w:hAnsi="Calibri" w:eastAsia="微软雅黑"/>
        </w:rPr>
        <w:t>Hit3不是当前默认Final Score第一，但它拥有其他候选没有的历史证据：原始人工多目标选择、100 ns MD/MMGBSA，以及NMR/LC-MS化学表征。因此Hit3应作为“传统路径代表与已表征候选”进入实验面板，而不是被AI排名简单淘汰。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E"/>
            <w:tcBorders>
              <w:top w:val="single" w:sz="2" w:color="3E7C59"/>
              <w:left w:val="single" w:sz="8" w:color="3E7C59"/>
              <w:bottom w:val="single" w:sz="2" w:color="3E7C59"/>
              <w:right w:val="single" w:sz="2" w:color="3E7C59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项目最有说服力的实验设计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不押注单一赢家，而是冻结一个证据互补的候选面板：Hit2（默认决策第一）、Hit1（权重场景中最稳定）、Hit3（传统路径+MD+化学表征），再加入1–2个骨架多样性候选和适当低排名对照。这样实验才能真正检验“AI增强排序是否优于单一计算指标”。</w:t>
            </w:r>
          </w:p>
        </w:tc>
      </w:tr>
    </w:tbl>
    <w:p>
      <w:pPr>
        <w:spacing w:after="0"/>
      </w:pPr>
    </w:p>
    <w:p>
      <w:pPr>
        <w:pStyle w:val="Heading1"/>
      </w:pPr>
      <w:r>
        <w:t>7. 系统可信度：我们主动验证哪里不稳</w:t>
      </w:r>
    </w:p>
    <w:p>
      <w:pPr>
        <w:pStyle w:val="Heading2"/>
      </w:pPr>
      <w:r>
        <w:t>7.1 权重敏感性</w:t>
      </w:r>
    </w:p>
    <w:p>
      <w:r>
        <w:rPr>
          <w:rFonts w:ascii="Calibri" w:hAnsi="Calibri" w:eastAsia="微软雅黑"/>
        </w:rPr>
        <w:t>Phase 6A比较默认权重及四个场景：Binding偏重、ATP偏重、四项等权、抗菌偏重。default/A/C/D的Top 1均为Hit2；ATP权重50%的场景B中Top 1变为Hit13。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232"/>
        <w:gridCol w:w="5314"/>
      </w:tblGrid>
      <w:tr>
        <w:trPr>
          <w:tblHeader w:val="true"/>
        </w:trP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结论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数值/观察</w:t>
            </w:r>
          </w:p>
        </w:tc>
        <w:tc>
          <w:tcPr>
            <w:tcW w:type="dxa" w:w="5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6"/>
              </w:rPr>
              <w:t>含义</w:t>
            </w:r>
          </w:p>
        </w:tc>
      </w:tr>
      <w:tr>
        <w:tc>
          <w:tcPr>
            <w:tcW w:type="dxa" w:w="230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最低两两Spearman</w:t>
            </w:r>
          </w:p>
        </w:tc>
        <w:tc>
          <w:tcPr>
            <w:tcW w:type="dxa" w:w="223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0.4583</w:t>
            </w:r>
          </w:p>
        </w:tc>
        <w:tc>
          <w:tcPr>
            <w:tcW w:type="dxa" w:w="531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不同权重下整体排序仅中等一致</w:t>
            </w:r>
          </w:p>
        </w:tc>
      </w:tr>
      <w:tr>
        <w:tc>
          <w:tcPr>
            <w:tcW w:type="dxa" w:w="230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最低Kendall tau</w:t>
            </w:r>
          </w:p>
        </w:tc>
        <w:tc>
          <w:tcPr>
            <w:tcW w:type="dxa" w:w="223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0.3235</w:t>
            </w:r>
          </w:p>
        </w:tc>
        <w:tc>
          <w:tcPr>
            <w:tcW w:type="dxa" w:w="531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候选两两顺序存在明显变化</w:t>
            </w:r>
          </w:p>
        </w:tc>
      </w:tr>
      <w:tr>
        <w:tc>
          <w:tcPr>
            <w:tcW w:type="dxa" w:w="230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始终进入Top 3</w:t>
            </w:r>
          </w:p>
        </w:tc>
        <w:tc>
          <w:tcPr>
            <w:tcW w:type="dxa" w:w="223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仅Hit1</w:t>
            </w:r>
          </w:p>
        </w:tc>
        <w:tc>
          <w:tcPr>
            <w:tcW w:type="dxa" w:w="531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Hit1是最稳健的高优先候选</w:t>
            </w:r>
          </w:p>
        </w:tc>
      </w:tr>
      <w:tr>
        <w:tc>
          <w:tcPr>
            <w:tcW w:type="dxa" w:w="230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Binding-only vs full</w:t>
            </w:r>
          </w:p>
        </w:tc>
        <w:tc>
          <w:tcPr>
            <w:tcW w:type="dxa" w:w="223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Spearman 0.6205</w:t>
            </w:r>
          </w:p>
        </w:tc>
        <w:tc>
          <w:tcPr>
            <w:tcW w:type="dxa" w:w="531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多目标证据改变了大量次序</w:t>
            </w:r>
          </w:p>
        </w:tc>
      </w:tr>
      <w:tr>
        <w:tc>
          <w:tcPr>
            <w:tcW w:type="dxa" w:w="230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Binding+ATP vs full</w:t>
            </w:r>
          </w:p>
        </w:tc>
        <w:tc>
          <w:tcPr>
            <w:tcW w:type="dxa" w:w="223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Spearman 0.8971</w:t>
            </w:r>
          </w:p>
        </w:tc>
        <w:tc>
          <w:tcPr>
            <w:tcW w:type="dxa" w:w="531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6"/>
              </w:rPr>
              <w:t>主要排序信号来自结合与ATP知识，AB/成药性仍有增量影响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</w:rPr>
        <w:t>结论不是“系统高度稳定”，而是“系统能显式暴露决策对科研偏好的敏感性”。这比隐藏权重、只展示一个Top 1更可信。</w:t>
      </w:r>
    </w:p>
    <w:p>
      <w:pPr>
        <w:pStyle w:val="Heading2"/>
      </w:pPr>
      <w:r>
        <w:t>7.2 外部验证：empty也是有效结论</w:t>
      </w:r>
    </w:p>
    <w:p>
      <w:r>
        <w:rPr>
          <w:rFonts w:ascii="Calibri" w:hAnsi="Calibri" w:eastAsia="微软雅黑"/>
        </w:rPr>
        <w:t>Phase 6B已能导入公开ATP synthase inhibitor记录、标准化结构、按canonical SMILES去重、计算Morgan2048并执行评分门控。现有输入363条，109个唯一有效结构；但109个结构均与Model v2外部知识训练结构重叠，且缺少内部冻结协议下的Docking、静态MM/GBSA、Model v3和完整ADMET证据。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9E7"/>
            <w:tcBorders>
              <w:top w:val="single" w:sz="2" w:color="B55A4A"/>
              <w:left w:val="single" w:sz="8" w:color="B55A4A"/>
              <w:bottom w:val="single" w:sz="2" w:color="B55A4A"/>
              <w:right w:val="single" w:sz="2" w:color="B55A4A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当前外部验证状态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可评分结构=0；ranking行数=0；成功评价metric strata=0；状态=empty。系统没有因为公开数据带有activity就补假特征或生成虚假相关性。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</w:rPr>
        <w:t>下一次外部验证必须在评分协议冻结后，使用与训练结构隔离、端点/物种/单位/assay一致的数据，并为外部候选按同一计算协议生成所需证据。</w:t>
      </w:r>
    </w:p>
    <w:p>
      <w:pPr>
        <w:pStyle w:val="Heading1"/>
      </w:pPr>
      <w:r>
        <w:t>8. 过去、现在、未来如何汇成一个项目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3744"/>
        <w:gridCol w:w="2520"/>
        <w:gridCol w:w="2174"/>
      </w:tblGrid>
      <w:tr>
        <w:trPr>
          <w:tblHeader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阶段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已完成事实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本阶段回答的问题</w:t>
            </w:r>
          </w:p>
        </w:tc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与下一阶段的连接</w:t>
            </w:r>
          </w:p>
        </w:tc>
      </w:tr>
      <w:tr>
        <w:tc>
          <w:tcPr>
            <w:tcW w:type="dxa" w:w="1411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过去：真实计算化学</w:t>
            </w:r>
          </w:p>
        </w:tc>
        <w:tc>
          <w:tcPr>
            <w:tcW w:type="dxa" w:w="374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7P3W/IN-2；筛选、17候选、ADMET、IN-2与Hit3 MD/MMGBSA、Hit3表征</w:t>
            </w:r>
          </w:p>
        </w:tc>
        <w:tc>
          <w:tcPr>
            <w:tcW w:type="dxa" w:w="252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能否从参考抑制剂得到更值得研究的候选？</w:t>
            </w:r>
          </w:p>
        </w:tc>
        <w:tc>
          <w:tcPr>
            <w:tcW w:type="dxa" w:w="217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暴露多指标冲突与数据割裂</w:t>
            </w:r>
          </w:p>
        </w:tc>
      </w:tr>
      <w:tr>
        <w:tc>
          <w:tcPr>
            <w:tcW w:type="dxa" w:w="1411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现在：ATP-Navigator</w:t>
            </w:r>
          </w:p>
        </w:tc>
        <w:tc>
          <w:tcPr>
            <w:tcW w:type="dxa" w:w="374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数据注册、标签隔离、Model v0-v3、Decision Engine、稳健性、benchmark门控</w:t>
            </w:r>
          </w:p>
        </w:tc>
        <w:tc>
          <w:tcPr>
            <w:tcW w:type="dxa" w:w="252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如何让候选排序可追溯、可解释、可复现？</w:t>
            </w:r>
          </w:p>
        </w:tc>
        <w:tc>
          <w:tcPr>
            <w:tcW w:type="dxa" w:w="217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输出冻结的实验候选面板</w:t>
            </w:r>
          </w:p>
        </w:tc>
      </w:tr>
      <w:tr>
        <w:tc>
          <w:tcPr>
            <w:tcW w:type="dxa" w:w="1411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未来：计算—实验闭环</w:t>
            </w:r>
          </w:p>
        </w:tc>
        <w:tc>
          <w:tcPr>
            <w:tcW w:type="dxa" w:w="374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尚未完成</w:t>
            </w:r>
          </w:p>
        </w:tc>
        <w:tc>
          <w:tcPr>
            <w:tcW w:type="dxa" w:w="252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这些计算优先级是否对应真实ATP酶功能和抗菌活性？</w:t>
            </w:r>
          </w:p>
        </w:tc>
        <w:tc>
          <w:tcPr>
            <w:tcW w:type="dxa" w:w="217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实验结果回流，但作为新版本真实标签而非篡改旧结果</w:t>
            </w:r>
          </w:p>
        </w:tc>
      </w:tr>
    </w:tbl>
    <w:p>
      <w:pPr>
        <w:spacing w:after="0"/>
      </w:pPr>
    </w:p>
    <w:p>
      <w:pPr>
        <w:pStyle w:val="Heading2"/>
      </w:pPr>
      <w:r>
        <w:t>8.1 最终叙事不是三段项目</w:t>
      </w:r>
    </w:p>
    <w:p>
      <w:r>
        <w:rPr>
          <w:rFonts w:ascii="Calibri" w:hAnsi="Calibri" w:eastAsia="微软雅黑"/>
        </w:rPr>
        <w:t>原始科研不是“前置背景”，而是ATP-Navigator的训练问题、候选集合和评价对象；AI开发不是“另起炉灶”，而是把原始计算链中无法稳定回答的候选选择问题变成可复现流程；未来实验也不是“补材料”，而是对当前排序系统进行真正的前瞻检验。</w:t>
      </w:r>
    </w:p>
    <w:p>
      <w:pPr>
        <w:pStyle w:val="Heading2"/>
      </w:pPr>
      <w:r>
        <w:t>8.2 当前正在做什么</w:t>
      </w:r>
    </w:p>
    <w:p>
      <w:pPr>
        <w:pStyle w:val="ListBullet"/>
      </w:pPr>
      <w:r>
        <w:rPr>
          <w:rFonts w:ascii="Calibri" w:hAnsi="Calibri" w:eastAsia="微软雅黑"/>
        </w:rPr>
        <w:t>冻结比赛版本的数据、代码、模型、权重、候选面板和指标口径；</w:t>
      </w:r>
    </w:p>
    <w:p>
      <w:pPr>
        <w:pStyle w:val="ListBullet"/>
      </w:pPr>
      <w:r>
        <w:rPr>
          <w:rFonts w:ascii="Calibri" w:hAnsi="Calibri" w:eastAsia="微软雅黑"/>
        </w:rPr>
        <w:t>为候选建立可执行的ATP酶功能与抗菌活性验证方案；</w:t>
      </w:r>
    </w:p>
    <w:p>
      <w:pPr>
        <w:pStyle w:val="ListBullet"/>
      </w:pPr>
      <w:r>
        <w:rPr>
          <w:rFonts w:ascii="Calibri" w:hAnsi="Calibri" w:eastAsia="微软雅黑"/>
        </w:rPr>
        <w:t>准备独立、无泄漏的外部验证集合，并按冻结计算协议生成必要证据；</w:t>
      </w:r>
    </w:p>
    <w:p>
      <w:pPr>
        <w:pStyle w:val="ListBullet"/>
      </w:pPr>
      <w:r>
        <w:rPr>
          <w:rFonts w:ascii="Calibri" w:hAnsi="Calibri" w:eastAsia="微软雅黑"/>
        </w:rPr>
        <w:t>按代码提交要求整理环境、运行入口、模型卡、数据许可、示例输入输出和一键结果。</w:t>
      </w:r>
    </w:p>
    <w:p>
      <w:r>
        <w:rPr>
          <w:rFonts w:ascii="Calibri" w:hAnsi="Calibri" w:eastAsia="微软雅黑"/>
          <w:color w:val="9C3D2E"/>
        </w:rPr>
        <w:t>以上是当前优先任务，不应在答辩中描述为已完成。</w:t>
      </w:r>
    </w:p>
    <w:p>
      <w:pPr>
        <w:pStyle w:val="Heading1"/>
      </w:pPr>
      <w:r>
        <w:t>9. 比赛适配：按照评分表安排叙事和工作</w:t>
      </w:r>
    </w:p>
    <w:p>
      <w:r>
        <w:rPr>
          <w:rFonts w:ascii="Calibri" w:hAnsi="Calibri" w:eastAsia="微软雅黑"/>
        </w:rPr>
        <w:t>项目适合赛道三“小分子药物虚拟筛选”方向。赛题鼓励“AI筛选+数据验证”，区域赛评分中设计与计算筛选占55分，是本项目当前最强项；湿实验验证占15分，是当前最明确短板。[S3][S5]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"/>
        <w:gridCol w:w="3816"/>
        <w:gridCol w:w="3154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评分项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分值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当前支撑</w:t>
            </w:r>
          </w:p>
        </w:tc>
        <w:tc>
          <w:tcPr>
            <w:tcW w:type="dxa" w:w="3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必须补强</w:t>
            </w:r>
          </w:p>
        </w:tc>
      </w:tr>
      <w:tr>
        <w:tc>
          <w:tcPr>
            <w:tcW w:type="dxa" w:w="208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选题价值与靶点理解</w:t>
            </w:r>
          </w:p>
        </w:tc>
        <w:tc>
          <w:tcPr>
            <w:tcW w:type="dxa" w:w="79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15</w:t>
            </w:r>
          </w:p>
        </w:tc>
        <w:tc>
          <w:tcPr>
            <w:tcW w:type="dxa" w:w="381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真实A. baumannii ATP synthase结构与结合位点；选择性和机制难点明确</w:t>
            </w:r>
          </w:p>
        </w:tc>
        <w:tc>
          <w:tcPr>
            <w:tcW w:type="dxa" w:w="315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加强靶点生物学、选择性风险和关键残基论证</w:t>
            </w:r>
          </w:p>
        </w:tc>
      </w:tr>
      <w:tr>
        <w:tc>
          <w:tcPr>
            <w:tcW w:type="dxa" w:w="208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设计与计算筛选</w:t>
            </w:r>
          </w:p>
        </w:tc>
        <w:tc>
          <w:tcPr>
            <w:tcW w:type="dxa" w:w="79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55</w:t>
            </w:r>
          </w:p>
        </w:tc>
        <w:tc>
          <w:tcPr>
            <w:tcW w:type="dxa" w:w="381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Schrödinger→MD/MMGBSA→数据资产→Model v0-v3→Decision Engine→稳健性</w:t>
            </w:r>
          </w:p>
        </w:tc>
        <w:tc>
          <w:tcPr>
            <w:tcW w:type="dxa" w:w="315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冻结流程、补运行说明、突出公平对照和标签边界</w:t>
            </w:r>
          </w:p>
        </w:tc>
      </w:tr>
      <w:tr>
        <w:tc>
          <w:tcPr>
            <w:tcW w:type="dxa" w:w="208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湿实验验证质量</w:t>
            </w:r>
          </w:p>
        </w:tc>
        <w:tc>
          <w:tcPr>
            <w:tcW w:type="dxa" w:w="79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15</w:t>
            </w:r>
          </w:p>
        </w:tc>
        <w:tc>
          <w:tcPr>
            <w:tcW w:type="dxa" w:w="381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已有Hit3化学表征，但无功能/活性验证</w:t>
            </w:r>
          </w:p>
        </w:tc>
        <w:tc>
          <w:tcPr>
            <w:tcW w:type="dxa" w:w="315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剂量反应、阳/阴性对照、重复、统计、ATP酶与MIC/MBC</w:t>
            </w:r>
          </w:p>
        </w:tc>
      </w:tr>
      <w:tr>
        <w:tc>
          <w:tcPr>
            <w:tcW w:type="dxa" w:w="208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提交材料与展示</w:t>
            </w:r>
          </w:p>
        </w:tc>
        <w:tc>
          <w:tcPr>
            <w:tcW w:type="dxa" w:w="79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15</w:t>
            </w:r>
          </w:p>
        </w:tc>
        <w:tc>
          <w:tcPr>
            <w:tcW w:type="dxa" w:w="381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GitHub工程、注册表、历史、模型与结果已存在</w:t>
            </w:r>
          </w:p>
        </w:tc>
        <w:tc>
          <w:tcPr>
            <w:tcW w:type="dxa" w:w="315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匿名化、环境复现、一键结果、材料清单和录音PPT</w:t>
            </w:r>
          </w:p>
        </w:tc>
      </w:tr>
    </w:tbl>
    <w:p>
      <w:pPr>
        <w:spacing w:after="0"/>
      </w:pPr>
    </w:p>
    <w:p>
      <w:pPr>
        <w:pStyle w:val="Heading2"/>
      </w:pPr>
      <w:r>
        <w:t>9.1 总决赛视角</w:t>
      </w:r>
    </w:p>
    <w:p>
      <w:r>
        <w:rPr>
          <w:rFonts w:ascii="Calibri" w:hAnsi="Calibri" w:eastAsia="微软雅黑"/>
        </w:rPr>
        <w:t>总决赛更看重报告与答辩（35分）、方案设计与创新（20分）、实验验证与性能（20分）、选题与科学问题（15分）、完整性与可复现性（10分）。因此最终答辩不能只讲模型指标，而要讲清“为什么需要决策系统、证据如何流动、哪些结论尚未验证”。[S6]</w:t>
      </w:r>
    </w:p>
    <w:p>
      <w:pPr>
        <w:pStyle w:val="Heading2"/>
      </w:pPr>
      <w:r>
        <w:t>9.2 单项奖策略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7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建议</w:t>
            </w:r>
          </w:p>
        </w:tc>
        <w:tc>
          <w:tcPr>
            <w:tcW w:type="dxa" w:w="6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7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主攻：最佳虚拟筛选</w:t>
            </w:r>
          </w:p>
        </w:tc>
        <w:tc>
          <w:tcPr>
            <w:tcW w:type="dxa" w:w="697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已有真实计算链、AI排序、同骨架隔离评价、Decision Engine与稳健性分析，匹配度最高</w:t>
            </w:r>
          </w:p>
        </w:tc>
      </w:tr>
      <w:tr>
        <w:tc>
          <w:tcPr>
            <w:tcW w:type="dxa" w:w="288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第二选择：最佳项目展示</w:t>
            </w:r>
          </w:p>
        </w:tc>
        <w:tc>
          <w:tcPr>
            <w:tcW w:type="dxa" w:w="697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项目演化和证据边界具备清晰故事，且单项奖最多申报两项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暂不主攻：最佳实验验证</w:t>
            </w:r>
          </w:p>
        </w:tc>
        <w:tc>
          <w:tcPr>
            <w:tcW w:type="dxa" w:w="697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7"/>
              </w:rPr>
              <w:t>当前尚无ATP酶、MIC或实验毒性结果，不应靠叙事夸大</w:t>
            </w:r>
          </w:p>
        </w:tc>
      </w:tr>
    </w:tbl>
    <w:p>
      <w:pPr>
        <w:spacing w:after="0"/>
      </w:pPr>
    </w:p>
    <w:p>
      <w:pPr>
        <w:pStyle w:val="Heading1"/>
      </w:pPr>
      <w:r>
        <w:t>10. 下一阶段最合理的实验与验证路线</w:t>
      </w:r>
    </w:p>
    <w:p>
      <w:pPr>
        <w:pStyle w:val="Heading2"/>
      </w:pPr>
      <w:r>
        <w:t>10.1 先冻结，再验证</w:t>
      </w:r>
    </w:p>
    <w:p>
      <w:r>
        <w:rPr>
          <w:rFonts w:ascii="Calibri" w:hAnsi="Calibri" w:eastAsia="微软雅黑"/>
        </w:rPr>
        <w:t>在看到实验结果前冻结：候选面板、主/次终点、阳性/阴性对照、重复数、排除标准、统计方法、模型版本和Final Score权重。这样后续结果才是前瞻验证，而不是看到答案后调整排序。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448"/>
        <w:gridCol w:w="4464"/>
        <w:gridCol w:w="214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优先级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工作包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最低可接受输出</w:t>
            </w:r>
          </w:p>
        </w:tc>
        <w:tc>
          <w:tcPr>
            <w:tcW w:type="dxa" w:w="21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对应评分价值</w:t>
            </w:r>
          </w:p>
        </w:tc>
      </w:tr>
      <w:tr>
        <w:tc>
          <w:tcPr>
            <w:tcW w:type="dxa" w:w="79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P0</w:t>
            </w:r>
          </w:p>
        </w:tc>
        <w:tc>
          <w:tcPr>
            <w:tcW w:type="dxa" w:w="244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候选身份、纯度与样品可用性核验</w:t>
            </w:r>
          </w:p>
        </w:tc>
        <w:tc>
          <w:tcPr>
            <w:tcW w:type="dxa" w:w="446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结构/批次/纯度/溶解性记录；Hit3表征回链</w:t>
            </w:r>
          </w:p>
        </w:tc>
        <w:tc>
          <w:tcPr>
            <w:tcW w:type="dxa" w:w="214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保证真数据和可追溯</w:t>
            </w:r>
          </w:p>
        </w:tc>
      </w:tr>
      <w:tr>
        <w:tc>
          <w:tcPr>
            <w:tcW w:type="dxa" w:w="79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P0</w:t>
            </w:r>
          </w:p>
        </w:tc>
        <w:tc>
          <w:tcPr>
            <w:tcW w:type="dxa" w:w="244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ATP synthase功能/酶抑制验证</w:t>
            </w:r>
          </w:p>
        </w:tc>
        <w:tc>
          <w:tcPr>
            <w:tcW w:type="dxa" w:w="446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剂量反应、阳性IN-2、阴性/vehicle、技术与生物重复</w:t>
            </w:r>
          </w:p>
        </w:tc>
        <w:tc>
          <w:tcPr>
            <w:tcW w:type="dxa" w:w="214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直接验证靶点相关性</w:t>
            </w:r>
          </w:p>
        </w:tc>
      </w:tr>
      <w:tr>
        <w:tc>
          <w:tcPr>
            <w:tcW w:type="dxa" w:w="79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P0</w:t>
            </w:r>
          </w:p>
        </w:tc>
        <w:tc>
          <w:tcPr>
            <w:tcW w:type="dxa" w:w="244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A. baumannii MIC/MBC</w:t>
            </w:r>
          </w:p>
        </w:tc>
        <w:tc>
          <w:tcPr>
            <w:tcW w:type="dxa" w:w="446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标准化浓度梯度、菌株、重复、质控药物</w:t>
            </w:r>
          </w:p>
        </w:tc>
        <w:tc>
          <w:tcPr>
            <w:tcW w:type="dxa" w:w="214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验证抗菌表型</w:t>
            </w:r>
          </w:p>
        </w:tc>
      </w:tr>
      <w:tr>
        <w:tc>
          <w:tcPr>
            <w:tcW w:type="dxa" w:w="79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P1</w:t>
            </w:r>
          </w:p>
        </w:tc>
        <w:tc>
          <w:tcPr>
            <w:tcW w:type="dxa" w:w="244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基础安全性/选择性</w:t>
            </w:r>
          </w:p>
        </w:tc>
        <w:tc>
          <w:tcPr>
            <w:tcW w:type="dxa" w:w="446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细胞毒性、溶解度/聚集风险，必要时对照非靶ATPase</w:t>
            </w:r>
          </w:p>
        </w:tc>
        <w:tc>
          <w:tcPr>
            <w:tcW w:type="dxa" w:w="214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避免把非特异毒性当成命中</w:t>
            </w:r>
          </w:p>
        </w:tc>
      </w:tr>
      <w:tr>
        <w:tc>
          <w:tcPr>
            <w:tcW w:type="dxa" w:w="792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P1</w:t>
            </w:r>
          </w:p>
        </w:tc>
        <w:tc>
          <w:tcPr>
            <w:tcW w:type="dxa" w:w="244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结构—效应解释</w:t>
            </w:r>
          </w:p>
        </w:tc>
        <w:tc>
          <w:tcPr>
            <w:tcW w:type="dxa" w:w="446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实验结果与Docking/MMGBSA/关键残基/AI分量对应分析</w:t>
            </w:r>
          </w:p>
        </w:tc>
        <w:tc>
          <w:tcPr>
            <w:tcW w:type="dxa" w:w="2146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回答“为什么推荐”</w:t>
            </w:r>
          </w:p>
        </w:tc>
      </w:tr>
      <w:tr>
        <w:tc>
          <w:tcPr>
            <w:tcW w:type="dxa" w:w="792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P1</w:t>
            </w:r>
          </w:p>
        </w:tc>
        <w:tc>
          <w:tcPr>
            <w:tcW w:type="dxa" w:w="244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独立前瞻benchmark</w:t>
            </w:r>
          </w:p>
        </w:tc>
        <w:tc>
          <w:tcPr>
            <w:tcW w:type="dxa" w:w="446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未参与训练、同端点、同单位、同计算协议的冻结测试集</w:t>
            </w:r>
          </w:p>
        </w:tc>
        <w:tc>
          <w:tcPr>
            <w:tcW w:type="dxa" w:w="2146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验证泛化与可复现</w:t>
            </w:r>
          </w:p>
        </w:tc>
      </w:tr>
    </w:tbl>
    <w:p>
      <w:pPr>
        <w:spacing w:after="0"/>
      </w:pPr>
    </w:p>
    <w:p>
      <w:pPr>
        <w:pStyle w:val="Heading2"/>
      </w:pPr>
      <w:r>
        <w:t>10.2 建议冻结的候选面板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440"/>
        <w:gridCol w:w="3888"/>
        <w:gridCol w:w="2938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角色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候选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选择理由</w:t>
            </w:r>
          </w:p>
        </w:tc>
        <w:tc>
          <w:tcPr>
            <w:tcW w:type="dxa" w:w="2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预注册问题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默认决策Top</w:t>
            </w:r>
          </w:p>
        </w:tc>
        <w:tc>
          <w:tcPr>
            <w:tcW w:type="dxa" w:w="14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Hit2</w:t>
            </w:r>
          </w:p>
        </w:tc>
        <w:tc>
          <w:tcPr>
            <w:tcW w:type="dxa" w:w="388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Phase 5默认Final Score第一；多数权重场景Top 1</w:t>
            </w:r>
          </w:p>
        </w:tc>
        <w:tc>
          <w:tcPr>
            <w:tcW w:type="dxa" w:w="293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多目标融合优先候选能否表现更好？</w:t>
            </w:r>
          </w:p>
        </w:tc>
      </w:tr>
      <w:tr>
        <w:tc>
          <w:tcPr>
            <w:tcW w:type="dxa" w:w="158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稳健Top</w:t>
            </w:r>
          </w:p>
        </w:tc>
        <w:tc>
          <w:tcPr>
            <w:tcW w:type="dxa" w:w="14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Hit1</w:t>
            </w:r>
          </w:p>
        </w:tc>
        <w:tc>
          <w:tcPr>
            <w:tcW w:type="dxa" w:w="388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A-D中唯一始终进入Top3和Top5</w:t>
            </w:r>
          </w:p>
        </w:tc>
        <w:tc>
          <w:tcPr>
            <w:tcW w:type="dxa" w:w="293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对权重不敏感是否对应更稳定实验表现？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传统路径代表</w:t>
            </w:r>
          </w:p>
        </w:tc>
        <w:tc>
          <w:tcPr>
            <w:tcW w:type="dxa" w:w="14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Hit3</w:t>
            </w:r>
          </w:p>
        </w:tc>
        <w:tc>
          <w:tcPr>
            <w:tcW w:type="dxa" w:w="388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原始选择、100 ns MD/MMGBSA、NMR/LC-MS</w:t>
            </w:r>
          </w:p>
        </w:tc>
        <w:tc>
          <w:tcPr>
            <w:tcW w:type="dxa" w:w="293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传统人工多目标判断与AI排序孰优？</w:t>
            </w:r>
          </w:p>
        </w:tc>
      </w:tr>
      <w:tr>
        <w:tc>
          <w:tcPr>
            <w:tcW w:type="dxa" w:w="1584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多样性候选</w:t>
            </w:r>
          </w:p>
        </w:tc>
        <w:tc>
          <w:tcPr>
            <w:tcW w:type="dxa" w:w="144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1–2个待从11个scaffold中冻结</w:t>
            </w:r>
          </w:p>
        </w:tc>
        <w:tc>
          <w:tcPr>
            <w:tcW w:type="dxa" w:w="388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避免只验证同类骨架</w:t>
            </w:r>
          </w:p>
        </w:tc>
        <w:tc>
          <w:tcPr>
            <w:tcW w:type="dxa" w:w="2938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模型能否跨骨架保持排序能力？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低排名对照</w:t>
            </w:r>
          </w:p>
        </w:tc>
        <w:tc>
          <w:tcPr>
            <w:tcW w:type="dxa" w:w="144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1–2个按冻结规则选择</w:t>
            </w:r>
          </w:p>
        </w:tc>
        <w:tc>
          <w:tcPr>
            <w:tcW w:type="dxa" w:w="388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估计Top-k enrichment和hit recovery需要对照</w:t>
            </w:r>
          </w:p>
        </w:tc>
        <w:tc>
          <w:tcPr>
            <w:tcW w:type="dxa" w:w="2938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排序是否优于随机/低分候选？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</w:rPr>
        <w:t>若资源只允许少量实验，最低组合应为Hit2、Hit1、Hit3、一个骨架多样性候选和一个低排名对照；不能只验证Top 1。</w:t>
      </w:r>
    </w:p>
    <w:p>
      <w:pPr>
        <w:pStyle w:val="Heading1"/>
      </w:pPr>
      <w:r>
        <w:t>11. 评委可能追问的问题</w:t>
      </w:r>
    </w:p>
    <w:p>
      <w:pPr>
        <w:keepLines/>
      </w:pPr>
      <w:r>
        <w:rPr>
          <w:rFonts w:ascii="Calibri" w:hAnsi="Calibri" w:eastAsia="微软雅黑"/>
          <w:b/>
          <w:color w:val="2E74B5"/>
          <w:sz w:val="21"/>
        </w:rPr>
        <w:t>Q1：你们的AI预测的是活性吗？</w:t>
      </w:r>
    </w:p>
    <w:p>
      <w:pPr>
        <w:spacing w:after="140"/>
        <w:ind w:left="259"/>
      </w:pPr>
      <w:r>
        <w:rPr>
          <w:rFonts w:ascii="Calibri" w:hAnsi="Calibri" w:eastAsia="微软雅黑"/>
          <w:color w:val="263238"/>
          <w:sz w:val="20"/>
        </w:rPr>
        <w:t>不是。当前监督标签是同协议静态MM/GBSA，用于优化内部候选计算排序。MIC、IC50和实验毒性尚未进入内部真实标签。</w:t>
      </w:r>
    </w:p>
    <w:p>
      <w:pPr>
        <w:keepLines/>
      </w:pPr>
      <w:r>
        <w:rPr>
          <w:rFonts w:ascii="Calibri" w:hAnsi="Calibri" w:eastAsia="微软雅黑"/>
          <w:b/>
          <w:color w:val="2E74B5"/>
          <w:sz w:val="21"/>
        </w:rPr>
        <w:t>Q2：只有17个样本，为什么还能做AI？</w:t>
      </w:r>
    </w:p>
    <w:p>
      <w:pPr>
        <w:spacing w:after="140"/>
        <w:ind w:left="259"/>
      </w:pPr>
      <w:r>
        <w:rPr>
          <w:rFonts w:ascii="Calibri" w:hAnsi="Calibri" w:eastAsia="微软雅黑"/>
          <w:color w:val="263238"/>
          <w:sz w:val="20"/>
        </w:rPr>
        <w:t>我们选择传统LightGBM和scaffold分组OOF，不使用GNN/Transformer；外部数据只通过隔离任务形成先验。项目价值在严格排序与证据融合，不在大模型规模。</w:t>
      </w:r>
    </w:p>
    <w:p>
      <w:pPr>
        <w:keepLines/>
      </w:pPr>
      <w:r>
        <w:rPr>
          <w:rFonts w:ascii="Calibri" w:hAnsi="Calibri" w:eastAsia="微软雅黑"/>
          <w:b/>
          <w:color w:val="2E74B5"/>
          <w:sz w:val="21"/>
        </w:rPr>
        <w:t>Q3：Model v3真的比v2好吗？</w:t>
      </w:r>
    </w:p>
    <w:p>
      <w:pPr>
        <w:spacing w:after="140"/>
        <w:ind w:left="259"/>
      </w:pPr>
      <w:r>
        <w:rPr>
          <w:rFonts w:ascii="Calibri" w:hAnsi="Calibri" w:eastAsia="微软雅黑"/>
          <w:color w:val="263238"/>
          <w:sz w:val="20"/>
        </w:rPr>
        <w:t>整体Spearman和RMSE小幅改善，但Top-5 enrichment没有提高，NDCG@5也没有超过v1。我们把它表述为特征能力增加和整体相关性改善，不宣称稳定Top-k提升。</w:t>
      </w:r>
    </w:p>
    <w:p>
      <w:pPr>
        <w:keepLines/>
      </w:pPr>
      <w:r>
        <w:rPr>
          <w:rFonts w:ascii="Calibri" w:hAnsi="Calibri" w:eastAsia="微软雅黑"/>
          <w:b/>
          <w:color w:val="2E74B5"/>
          <w:sz w:val="21"/>
        </w:rPr>
        <w:t>Q4：为什么原来选Hit3，现在系统选Hit2？</w:t>
      </w:r>
    </w:p>
    <w:p>
      <w:pPr>
        <w:spacing w:after="140"/>
        <w:ind w:left="259"/>
      </w:pPr>
      <w:r>
        <w:rPr>
          <w:rFonts w:ascii="Calibri" w:hAnsi="Calibri" w:eastAsia="微软雅黑"/>
          <w:color w:val="263238"/>
          <w:sz w:val="20"/>
        </w:rPr>
        <w:t>原始流程强调预测毒性与MD可行性；当前系统按公开权重融合更多证据。差异本身证明候选选择依赖目标权重，因而需要敏感性分析和多候选实验面板。</w:t>
      </w:r>
    </w:p>
    <w:p>
      <w:pPr>
        <w:keepLines/>
      </w:pPr>
      <w:r>
        <w:rPr>
          <w:rFonts w:ascii="Calibri" w:hAnsi="Calibri" w:eastAsia="微软雅黑"/>
          <w:b/>
          <w:color w:val="2E74B5"/>
          <w:sz w:val="21"/>
        </w:rPr>
        <w:t>Q5：外部验证为什么是空的？</w:t>
      </w:r>
    </w:p>
    <w:p>
      <w:pPr>
        <w:spacing w:after="140"/>
        <w:ind w:left="259"/>
      </w:pPr>
      <w:r>
        <w:rPr>
          <w:rFonts w:ascii="Calibri" w:hAnsi="Calibri" w:eastAsia="微软雅黑"/>
          <w:color w:val="263238"/>
          <w:sz w:val="20"/>
        </w:rPr>
        <w:t>现有109个唯一外部结构全部与Model v2知识训练结构重叠，且缺少冻结协议的计算证据。生成分数会造成泄漏或假证据，因此系统主动拒绝评分。</w:t>
      </w:r>
    </w:p>
    <w:p>
      <w:pPr>
        <w:keepLines/>
      </w:pPr>
      <w:r>
        <w:rPr>
          <w:rFonts w:ascii="Calibri" w:hAnsi="Calibri" w:eastAsia="微软雅黑"/>
          <w:b/>
          <w:color w:val="2E74B5"/>
          <w:sz w:val="21"/>
        </w:rPr>
        <w:t>Q6：项目最重要的下一步是什么？</w:t>
      </w:r>
    </w:p>
    <w:p>
      <w:pPr>
        <w:spacing w:after="140"/>
        <w:ind w:left="259"/>
      </w:pPr>
      <w:r>
        <w:rPr>
          <w:rFonts w:ascii="Calibri" w:hAnsi="Calibri" w:eastAsia="微软雅黑"/>
          <w:color w:val="263238"/>
          <w:sz w:val="20"/>
        </w:rPr>
        <w:t>不是继续加模型，而是冻结候选和协议，完成ATP synthase功能、MIC/MBC、毒性/选择性及独立前瞻验证。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9E7"/>
            <w:tcBorders>
              <w:top w:val="single" w:sz="2" w:color="B55A4A"/>
              <w:left w:val="single" w:sz="8" w:color="B55A4A"/>
              <w:bottom w:val="single" w:sz="2" w:color="B55A4A"/>
              <w:right w:val="single" w:sz="2" w:color="B55A4A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答辩底线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任何时候都不说“Hit2/Hit3已被证实为ATP合酶抑制剂”“AI发现了新药”“已有完整十万级训练集”或“外部验证通过”。正确表述是“计算优先候选”“当前可读数据子集”“验证接口已建立、指标为空”。</w:t>
            </w:r>
          </w:p>
        </w:tc>
      </w:tr>
    </w:tbl>
    <w:p>
      <w:pPr>
        <w:spacing w:after="0"/>
      </w:pPr>
    </w:p>
    <w:p>
      <w:pPr>
        <w:pStyle w:val="Heading1"/>
      </w:pPr>
      <w:r>
        <w:t>12. 最终结论：这是同一个项目的三个时间段</w:t>
      </w:r>
    </w:p>
    <w:p>
      <w:r>
        <w:rPr>
          <w:rFonts w:ascii="Calibri" w:hAnsi="Calibri" w:eastAsia="微软雅黑"/>
        </w:rPr>
        <w:t>ATP-Navigator的价值不在于给传统虚拟筛选贴上AI标签，而在于把一次真实科研案例中最难复现的“候选选择”过程变成可追溯、可比较、可解释的系统。</w:t>
      </w:r>
    </w:p>
    <w:p>
      <w:pPr>
        <w:pStyle w:val="ListNumber"/>
      </w:pPr>
      <w:r>
        <w:rPr>
          <w:rFonts w:ascii="Calibri" w:hAnsi="Calibri" w:eastAsia="微软雅黑"/>
        </w:rPr>
        <w:t>过去，我们已有真实靶点、参考抑制剂、Schrödinger筛选、17个候选、ADMET、MD/MMGBSA和Hit3化学表征；</w:t>
      </w:r>
    </w:p>
    <w:p>
      <w:pPr>
        <w:pStyle w:val="ListNumber"/>
      </w:pPr>
      <w:r>
        <w:rPr>
          <w:rFonts w:ascii="Calibri" w:hAnsi="Calibri" w:eastAsia="微软雅黑"/>
        </w:rPr>
        <w:t>现在，我们把这些证据整理成版本化数据资产，建立Model v0-v3，完成透明Decision Engine、权重敏感性和外部验证门控；</w:t>
      </w:r>
    </w:p>
    <w:p>
      <w:pPr>
        <w:pStyle w:val="ListNumber"/>
      </w:pPr>
      <w:r>
        <w:rPr>
          <w:rFonts w:ascii="Calibri" w:hAnsi="Calibri" w:eastAsia="微软雅黑"/>
        </w:rPr>
        <w:t>下一步，我们将用冻结的候选面板和实验协议检验排序是否对应真实ATP酶功能与抗菌表型。</w:t>
      </w:r>
    </w:p>
    <w:tbl>
      <w:tblPr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9850"/>
      </w:tblGrid>
      <w:tr>
        <w:tc>
          <w:tcPr>
            <w:tcW w:type="dxa" w:w="9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E"/>
            <w:tcBorders>
              <w:top w:val="single" w:sz="2" w:color="3E7C59"/>
              <w:left w:val="single" w:sz="8" w:color="3E7C59"/>
              <w:bottom w:val="single" w:sz="2" w:color="3E7C59"/>
              <w:right w:val="single" w:sz="2" w:color="3E7C59"/>
            </w:tcBorders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color w:val="263238"/>
                <w:sz w:val="22"/>
              </w:rPr>
              <w:t>最终项目主张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238"/>
                <w:sz w:val="20"/>
              </w:rPr>
              <w:t>ATP-Navigator已经证明：AI可以在传统虚拟筛选之后，学习计算排序规律、融合多源证据并暴露决策不确定性。它尚未证明：AI提高了真实活性命中率。后一个问题正是下一阶段实验闭环要回答的核心。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</w:rPr>
        <w:t>这一定义既保留原始科研工作的价值，也真实反映团队当前开发成果，并为比赛中的“真问题、真数据、真验证”提供可执行路线。</w:t>
      </w:r>
    </w:p>
    <w:p>
      <w:pPr>
        <w:pStyle w:val="Heading1"/>
      </w:pPr>
      <w:r>
        <w:t>附录A 证据边界与资料来源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960"/>
        <w:gridCol w:w="5170"/>
      </w:tblGrid>
      <w:tr>
        <w:trPr>
          <w:tblHeader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编号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来源</w:t>
            </w:r>
          </w:p>
        </w:tc>
        <w:tc>
          <w:tcPr>
            <w:tcW w:type="dxa" w:w="5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263238"/>
                <w:sz w:val="15"/>
              </w:rPr>
              <w:t>本文使用范围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S1</w:t>
            </w:r>
          </w:p>
        </w:tc>
        <w:tc>
          <w:tcPr>
            <w:tcW w:type="dxa" w:w="39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ATP酶抑制剂的修饰改造.pptx</w:t>
            </w:r>
          </w:p>
        </w:tc>
        <w:tc>
          <w:tcPr>
            <w:tcW w:type="dxa" w:w="517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原始靶点、位点、筛选链、17候选、IN-2/Hit3 MD/MMGBSA与历史结论</w:t>
            </w:r>
          </w:p>
        </w:tc>
      </w:tr>
      <w:tr>
        <w:tc>
          <w:tcPr>
            <w:tcW w:type="dxa" w:w="72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S2</w:t>
            </w:r>
          </w:p>
        </w:tc>
        <w:tc>
          <w:tcPr>
            <w:tcW w:type="dxa" w:w="39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ATP-Navigator项目策划书 v3.0.docx及原策划书</w:t>
            </w:r>
          </w:p>
        </w:tc>
        <w:tc>
          <w:tcPr>
            <w:tcW w:type="dxa" w:w="517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定位演化、科学问题、阶段路线与限制；未来计划不视为已完成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S3</w:t>
            </w:r>
          </w:p>
        </w:tc>
        <w:tc>
          <w:tcPr>
            <w:tcW w:type="dxa" w:w="39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第一届全球大学生生命科学挑战赛第一轮通知.pdf</w:t>
            </w:r>
          </w:p>
        </w:tc>
        <w:tc>
          <w:tcPr>
            <w:tcW w:type="dxa" w:w="517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赛道方向、竞赛主题、流程与时间节点</w:t>
            </w:r>
          </w:p>
        </w:tc>
      </w:tr>
      <w:tr>
        <w:tc>
          <w:tcPr>
            <w:tcW w:type="dxa" w:w="72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S4</w:t>
            </w:r>
          </w:p>
        </w:tc>
        <w:tc>
          <w:tcPr>
            <w:tcW w:type="dxa" w:w="39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附件5-代码提交要求-定稿.docx</w:t>
            </w:r>
          </w:p>
        </w:tc>
        <w:tc>
          <w:tcPr>
            <w:tcW w:type="dxa" w:w="517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环境、源码、数据、模型、复现与匿名化要求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S5</w:t>
            </w:r>
          </w:p>
        </w:tc>
        <w:tc>
          <w:tcPr>
            <w:tcW w:type="dxa" w:w="39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附件6-区赛评分标准-定稿.docx</w:t>
            </w:r>
          </w:p>
        </w:tc>
        <w:tc>
          <w:tcPr>
            <w:tcW w:type="dxa" w:w="517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赛道三15/55/15/15评分结构</w:t>
            </w:r>
          </w:p>
        </w:tc>
      </w:tr>
      <w:tr>
        <w:tc>
          <w:tcPr>
            <w:tcW w:type="dxa" w:w="72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S6</w:t>
            </w:r>
          </w:p>
        </w:tc>
        <w:tc>
          <w:tcPr>
            <w:tcW w:type="dxa" w:w="39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附件8-总决赛评分标准-定稿.docx</w:t>
            </w:r>
          </w:p>
        </w:tc>
        <w:tc>
          <w:tcPr>
            <w:tcW w:type="dxa" w:w="517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15/20/20/35/10评分结构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S7</w:t>
            </w:r>
          </w:p>
        </w:tc>
        <w:tc>
          <w:tcPr>
            <w:tcW w:type="dxa" w:w="39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附件9-单项奖评分标准-定稿.docx</w:t>
            </w:r>
          </w:p>
        </w:tc>
        <w:tc>
          <w:tcPr>
            <w:tcW w:type="dxa" w:w="517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单项奖方向与申报策略</w:t>
            </w:r>
          </w:p>
        </w:tc>
      </w:tr>
      <w:tr>
        <w:tc>
          <w:tcPr>
            <w:tcW w:type="dxa" w:w="72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S8</w:t>
            </w:r>
          </w:p>
        </w:tc>
        <w:tc>
          <w:tcPr>
            <w:tcW w:type="dxa" w:w="39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ATP-Navigator仓库：Current System Status、Model/Data Registry、Model v3、Phase 5/6A/6B报告与结果</w:t>
            </w:r>
          </w:p>
        </w:tc>
        <w:tc>
          <w:tcPr>
            <w:tcW w:type="dxa" w:w="517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63238"/>
                <w:sz w:val="15"/>
              </w:rPr>
              <w:t>当前数据规模、模型指标、决策排名、稳健性和外部验证状态</w:t>
            </w:r>
          </w:p>
        </w:tc>
      </w:tr>
    </w:tbl>
    <w:p>
      <w:pPr>
        <w:spacing w:after="0"/>
      </w:pPr>
    </w:p>
    <w:p>
      <w:pPr>
        <w:pStyle w:val="Heading1"/>
      </w:pPr>
      <w:r>
        <w:t>附录B 提交前真实性检查</w:t>
      </w:r>
    </w:p>
    <w:p>
      <w:pPr>
        <w:pStyle w:val="ListBullet"/>
      </w:pPr>
      <w:r>
        <w:rPr>
          <w:rFonts w:ascii="Calibri" w:hAnsi="Calibri" w:eastAsia="微软雅黑"/>
        </w:rPr>
        <w:t>所有“已完成”陈述均能追溯到仓库文件或原始资料；</w:t>
      </w:r>
    </w:p>
    <w:p>
      <w:pPr>
        <w:pStyle w:val="ListBullet"/>
      </w:pPr>
      <w:r>
        <w:rPr>
          <w:rFonts w:ascii="Calibri" w:hAnsi="Calibri" w:eastAsia="微软雅黑"/>
        </w:rPr>
        <w:t>策划书中的未来路线未被写成当前成果；</w:t>
      </w:r>
    </w:p>
    <w:p>
      <w:pPr>
        <w:pStyle w:val="ListBullet"/>
      </w:pPr>
      <w:r>
        <w:rPr>
          <w:rFonts w:ascii="Calibri" w:hAnsi="Calibri" w:eastAsia="微软雅黑"/>
        </w:rPr>
        <w:t>MIC、IC50、静态MM/GBSA、MD/MMGBSA保持端点隔离；</w:t>
      </w:r>
    </w:p>
    <w:p>
      <w:pPr>
        <w:pStyle w:val="ListBullet"/>
      </w:pPr>
      <w:r>
        <w:rPr>
          <w:rFonts w:ascii="Calibri" w:hAnsi="Calibri" w:eastAsia="微软雅黑"/>
        </w:rPr>
        <w:t>模型指标注明17样本、scaffold OOF和无独立测试集；</w:t>
      </w:r>
    </w:p>
    <w:p>
      <w:pPr>
        <w:pStyle w:val="ListBullet"/>
      </w:pPr>
      <w:r>
        <w:rPr>
          <w:rFonts w:ascii="Calibri" w:hAnsi="Calibri" w:eastAsia="微软雅黑"/>
        </w:rPr>
        <w:t>Hit3的NMR/LC-MS只表述为化学表征；</w:t>
      </w:r>
    </w:p>
    <w:p>
      <w:pPr>
        <w:pStyle w:val="ListBullet"/>
      </w:pPr>
      <w:r>
        <w:rPr>
          <w:rFonts w:ascii="Calibri" w:hAnsi="Calibri" w:eastAsia="微软雅黑"/>
        </w:rPr>
        <w:t>外部benchmark明确为empty；</w:t>
      </w:r>
    </w:p>
    <w:p>
      <w:pPr>
        <w:pStyle w:val="ListBullet"/>
      </w:pPr>
      <w:r>
        <w:rPr>
          <w:rFonts w:ascii="Calibri" w:hAnsi="Calibri" w:eastAsia="微软雅黑"/>
        </w:rPr>
        <w:t>比赛材料移除学校、指导教师、姓名、Logo等身份信息；</w:t>
      </w:r>
    </w:p>
    <w:p>
      <w:pPr>
        <w:pStyle w:val="ListBullet"/>
      </w:pPr>
      <w:r>
        <w:rPr>
          <w:rFonts w:ascii="Calibri" w:hAnsi="Calibri" w:eastAsia="微软雅黑"/>
        </w:rPr>
        <w:t>代码包不包含大型原始MD轨迹、商业软件授权内容、缓存或本机绝对路径；</w:t>
      </w:r>
    </w:p>
    <w:p>
      <w:pPr>
        <w:pStyle w:val="ListBullet"/>
      </w:pPr>
      <w:r>
        <w:rPr>
          <w:rFonts w:ascii="Calibri" w:hAnsi="Calibri" w:eastAsia="微软雅黑"/>
        </w:rPr>
        <w:t>README、环境版本、固定随机种子、模型卡、数据许可、示例输入输出与一键结果齐全。</w:t>
      </w:r>
    </w:p>
    <w:p>
      <w:r>
        <w:rPr>
          <w:rFonts w:ascii="Calibri" w:hAnsi="Calibri" w:eastAsia="微软雅黑"/>
          <w:color w:val="5F6B73"/>
        </w:rPr>
        <w:t>文档用途：作为团队统一选题、评委介绍、答辩脚本和后续实验规划的母版。正式参赛摘要与PPT应在此基础上压缩，并按赛事匿名要求处理。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504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5F6B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5F6B73"/>
        <w:sz w:val="17"/>
      </w:rPr>
      <w:t>ATP-Navigator  |  项目评审介绍书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  <w:jc w:val="both"/>
    </w:pPr>
    <w:rPr>
      <w:rFonts w:ascii="Calibri" w:hAnsi="Calibri" w:eastAsia="微软雅黑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6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263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ind w:left="360" w:hanging="230"/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ind w:left="360" w:hanging="230"/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 CN"/>
    <w:pPr>
      <w:spacing w:before="60" w:after="140"/>
      <w:jc w:val="center"/>
    </w:pPr>
    <w:rPr>
      <w:rFonts w:ascii="Calibri" w:hAnsi="Calibri" w:eastAsia="微软雅黑"/>
      <w:color w:val="5F6B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