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2.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before="0" w:after="140" w:line="264" w:lineRule="auto"/>
        <w:jc w:val="center"/>
      </w:pPr>
      <w:r>
        <w:rPr>
          <w:rFonts w:ascii="Times New Roman" w:hAnsi="Times New Roman" w:eastAsia="黑体"/>
          <w:b/>
          <w:i w:val="0"/>
          <w:sz w:val="32"/>
        </w:rPr>
        <w:t>基于 ORB 扫描图像匹配的室内机器人 LiDAR 全局定位方法</w:t>
      </w:r>
    </w:p>
    <w:p>
      <w:pPr>
        <w:spacing w:before="0" w:after="60" w:line="264" w:lineRule="auto"/>
        <w:jc w:val="center"/>
      </w:pPr>
      <w:r>
        <w:rPr>
          <w:rFonts w:ascii="Times New Roman" w:hAnsi="Times New Roman" w:eastAsia="宋体"/>
          <w:b w:val="0"/>
          <w:i w:val="0"/>
          <w:sz w:val="21"/>
        </w:rPr>
        <w:t>作者一¹，作者二²</w:t>
      </w:r>
    </w:p>
    <w:p>
      <w:pPr>
        <w:spacing w:before="0" w:after="160" w:line="264" w:lineRule="auto"/>
        <w:jc w:val="center"/>
      </w:pPr>
      <w:r>
        <w:rPr>
          <w:rFonts w:ascii="Times New Roman" w:hAnsi="Times New Roman" w:eastAsia="宋体"/>
          <w:b w:val="0"/>
          <w:i w:val="0"/>
          <w:sz w:val="18"/>
        </w:rPr>
        <w:t>（1. 作者一单位，省 市 邮编；2. 作者二单位，省 市 邮编）</w:t>
      </w:r>
    </w:p>
    <w:p>
      <w:pPr>
        <w:spacing w:before="0" w:after="60" w:line="300" w:lineRule="auto"/>
      </w:pPr>
      <w:r>
        <w:rPr>
          <w:rFonts w:ascii="Times New Roman" w:hAnsi="Times New Roman" w:eastAsia="宋体"/>
          <w:b/>
          <w:i w:val="0"/>
          <w:sz w:val="19"/>
        </w:rPr>
        <w:t>摘  要：</w:t>
      </w:r>
      <w:r>
        <w:rPr>
          <w:rFonts w:ascii="Times New Roman" w:hAnsi="Times New Roman" w:eastAsia="宋体"/>
          <w:b w:val="0"/>
          <w:i w:val="0"/>
          <w:sz w:val="19"/>
        </w:rPr>
        <w:t>针对已知栅格地图中移动机器人初始位姿未知时，局部里程计不能直接提供绝对位姿的问题，提出一种基于 ORB 扫描图像匹配的二维激光雷达全局定位方法。方法以 PGM 占据栅格地图及其分辨率、原点为离线输入，将实时 LaserScan 投影为统一尺度的灰度扫描图像；在地图约束的候选区域上进行模拟扫描，并采用 ORB 特征匹配与 RANSAC 几何验证获取候选位姿，按匹配评分和几何约束选出初始 (x, y, yaw)。在 ROS 2 Humble 与 Gazebo 仿真环境中，以 100 次独立随机初始位姿试验验证最终导航定位系统。结果显示：全局定位成功率为 96%，在 96 个成功样本上，平均 XY 误差为 0.1012 m，RMSE 为 0.1032 m，P95 误差为 0.1347 m，平均航向误差为 0.71°；4 次试验出现 ORB_TIMEOUT。为连续定位预留局部 ORB 周期修正与一致性门限融合接口，并记录了三组暂定预实验数据；由于重复次数和配置核验尚未完成，本文不据此给出精度收益结论。</w:t>
      </w:r>
    </w:p>
    <w:p>
      <w:pPr>
        <w:spacing w:before="0" w:after="140" w:line="288" w:lineRule="auto"/>
      </w:pPr>
      <w:r>
        <w:rPr>
          <w:rFonts w:ascii="Times New Roman" w:hAnsi="Times New Roman" w:eastAsia="宋体"/>
          <w:b/>
          <w:i w:val="0"/>
          <w:sz w:val="19"/>
        </w:rPr>
        <w:t>关键词：</w:t>
      </w:r>
      <w:r>
        <w:rPr>
          <w:rFonts w:ascii="Times New Roman" w:hAnsi="Times New Roman" w:eastAsia="宋体"/>
          <w:b w:val="0"/>
          <w:i w:val="0"/>
          <w:sz w:val="19"/>
        </w:rPr>
        <w:t>移动机器人定位；初始位姿估计；全局定位；二维激光雷达；ORB 特征匹配；局部位姿修正</w:t>
      </w:r>
    </w:p>
    <w:p>
      <w:pPr>
        <w:spacing w:before="140" w:after="100" w:line="264" w:lineRule="auto"/>
        <w:jc w:val="center"/>
      </w:pPr>
      <w:r>
        <w:rPr>
          <w:rFonts w:ascii="Times New Roman" w:hAnsi="Times New Roman" w:eastAsia="Times New Roman"/>
          <w:b/>
          <w:i w:val="0"/>
          <w:sz w:val="26"/>
        </w:rPr>
        <w:t>ORB-Scan-Image-Matching-Based LiDAR Global Localization for Indoor Mobile Robots</w:t>
      </w:r>
    </w:p>
    <w:p>
      <w:pPr>
        <w:spacing w:before="0" w:after="100" w:line="264" w:lineRule="auto"/>
        <w:jc w:val="center"/>
      </w:pPr>
      <w:r>
        <w:rPr>
          <w:rFonts w:ascii="Times New Roman" w:hAnsi="Times New Roman" w:eastAsia="Times New Roman"/>
          <w:b w:val="0"/>
          <w:i w:val="0"/>
          <w:sz w:val="19"/>
        </w:rPr>
        <w:t>AUTHOR Yi¹, AUTHOR Er²</w:t>
      </w:r>
    </w:p>
    <w:p>
      <w:pPr>
        <w:spacing w:before="0" w:after="60" w:line="288" w:lineRule="auto"/>
      </w:pPr>
      <w:r>
        <w:rPr>
          <w:rFonts w:ascii="Times New Roman" w:hAnsi="Times New Roman" w:eastAsia="宋体"/>
          <w:b/>
          <w:i w:val="0"/>
          <w:sz w:val="19"/>
        </w:rPr>
        <w:t xml:space="preserve">Abstract: </w:t>
      </w:r>
      <w:r>
        <w:rPr>
          <w:rFonts w:ascii="Times New Roman" w:hAnsi="Times New Roman" w:eastAsia="宋体"/>
          <w:b w:val="0"/>
          <w:i w:val="0"/>
          <w:sz w:val="19"/>
        </w:rPr>
        <w:t>This paper addresses the unknown initial-pose problem of a mobile robot in a known occupancy-grid map. A 2D LiDAR global-localization method based on ORB scan-image matching is proposed. A live LaserScan is rasterized into a gray-scale image and compared with simulated scans from map-constrained candidate regions. ORB descriptor matching and RANSAC geometric verification are used to estimate the initial pose (x, y, yaw), which is selected according to the matching score and geometric constraints. In 100 independent randomized initial-pose trials in ROS 2 Humble and Gazebo, the final navigation-localization system achieved a 96% success rate. For the 96 successful trials, the mean XY error, RMSE, P95 error and mean yaw error were 0.1012 m, 0.1032 m, 0.1347 m and 0.71°, respectively; four trials ended in ORB_TIMEOUT. A local periodic ORB correction and consistency-gating interface is also described. Its provisional measurements are recorded without drawing performance conclusions, pending repeated experiments and configuration verification.</w:t>
      </w:r>
    </w:p>
    <w:p>
      <w:pPr>
        <w:spacing w:before="0" w:after="180" w:line="288" w:lineRule="auto"/>
      </w:pPr>
      <w:r>
        <w:rPr>
          <w:rFonts w:ascii="Times New Roman" w:hAnsi="Times New Roman" w:eastAsia="宋体"/>
          <w:b/>
          <w:i w:val="0"/>
          <w:sz w:val="19"/>
        </w:rPr>
        <w:t xml:space="preserve">Key words: </w:t>
      </w:r>
      <w:r>
        <w:rPr>
          <w:rFonts w:ascii="Times New Roman" w:hAnsi="Times New Roman" w:eastAsia="宋体"/>
          <w:b w:val="0"/>
          <w:i w:val="0"/>
          <w:sz w:val="19"/>
        </w:rPr>
        <w:t>mobile robot localization; initial pose estimation; global localization; 2D LiDAR; ORB feature matching; local pose correction</w:t>
      </w:r>
    </w:p>
    <w:p>
      <w:pPr>
        <w:keepNext/>
        <w:spacing w:before="180" w:after="80" w:line="300" w:lineRule="auto"/>
      </w:pPr>
      <w:r>
        <w:rPr>
          <w:rFonts w:ascii="Times New Roman" w:hAnsi="Times New Roman" w:eastAsia="黑体"/>
          <w:b/>
          <w:i w:val="0"/>
          <w:sz w:val="24"/>
        </w:rPr>
        <w:t>0  引言</w:t>
      </w:r>
    </w:p>
    <w:p>
      <w:pPr>
        <w:spacing w:before="0" w:after="100" w:line="324" w:lineRule="auto"/>
      </w:pPr>
      <w:r>
        <w:rPr>
          <w:rFonts w:ascii="Times New Roman" w:hAnsi="Times New Roman" w:eastAsia="宋体"/>
          <w:b w:val="0"/>
          <w:i w:val="0"/>
          <w:sz w:val="21"/>
        </w:rPr>
        <w:t>在已知室内地图中，机器人被搬运、重启或局部跟踪失效后，轮式里程计只能描述相对运动，无法直接恢复 map 坐标系下的初始位姿。自适应蒙特卡洛定位（AMCL）可通过全局粒子分布处理该问题，但在大尺度或复杂场景下通常需要较多粒子和收敛时间[1-2]；迭代最近点（ICP）和正态分布变换（NDT）等扫描匹配方法则依赖可接受的初值，初值偏差较大时可能落入局部最优[3-5]。</w:t>
      </w:r>
    </w:p>
    <w:p>
      <w:pPr>
        <w:spacing w:before="0" w:after="100" w:line="324" w:lineRule="auto"/>
      </w:pPr>
      <w:r>
        <w:rPr>
          <w:rFonts w:ascii="Times New Roman" w:hAnsi="Times New Roman" w:eastAsia="宋体"/>
          <w:b w:val="0"/>
          <w:i w:val="0"/>
          <w:sz w:val="21"/>
        </w:rPr>
        <w:t>针对上述问题，本文将二维激光扫描转换为图像表示，利用 ORB 特征及 RANSAC 几何验证在 PGM 栅格地图上完成全局候选检索。与只报告单次匹配结果不同，本文按照随机初始位姿的独立试验统计成功率和成功样本误差，并将超时单列为可用性指标。系统还实现了以局部地图裁剪为基础的周期性 ORB 修正和基于新鲜度、平移差、航向差的门限融合，但第二阶段数据目前仅为暂定预实验记录，不作为方法有效性的结论依据。</w:t>
      </w:r>
    </w:p>
    <w:p>
      <w:pPr>
        <w:spacing w:before="0" w:after="100" w:line="324" w:lineRule="auto"/>
      </w:pPr>
      <w:r>
        <w:rPr>
          <w:rFonts w:ascii="Times New Roman" w:hAnsi="Times New Roman" w:eastAsia="宋体"/>
          <w:b w:val="0"/>
          <w:i w:val="0"/>
          <w:sz w:val="21"/>
        </w:rPr>
        <w:t>本文的已验证贡献如下：1）构建了地图约束下“模拟扫描—ORB 匹配—RANSAC 几何验证—候选评分”的全局初始位姿估计流程；2）给出了栅格像素中心到 map 坐标系的转换及其适用边界；3）在 100 次随机初始位姿仿真中报告了全局定位的成功率、位置误差与航向误差。</w:t>
      </w:r>
    </w:p>
    <w:p>
      <w:pPr>
        <w:keepNext/>
        <w:spacing w:before="180" w:after="80" w:line="300" w:lineRule="auto"/>
      </w:pPr>
      <w:r>
        <w:rPr>
          <w:rFonts w:ascii="Times New Roman" w:hAnsi="Times New Roman" w:eastAsia="黑体"/>
          <w:b/>
          <w:i w:val="0"/>
          <w:sz w:val="24"/>
        </w:rPr>
        <w:t>1  系统与方法</w:t>
      </w:r>
    </w:p>
    <w:p>
      <w:pPr>
        <w:keepNext/>
        <w:spacing w:before="140" w:after="80" w:line="300" w:lineRule="auto"/>
      </w:pPr>
      <w:r>
        <w:rPr>
          <w:rFonts w:ascii="Times New Roman" w:hAnsi="Times New Roman" w:eastAsia="黑体"/>
          <w:b/>
          <w:i w:val="0"/>
          <w:sz w:val="22"/>
        </w:rPr>
        <w:t>1.1  地图准备与坐标一致性</w:t>
      </w:r>
    </w:p>
    <w:p>
      <w:pPr>
        <w:spacing w:before="0" w:after="100" w:line="324" w:lineRule="auto"/>
      </w:pPr>
      <w:r>
        <w:rPr>
          <w:rFonts w:ascii="Times New Roman" w:hAnsi="Times New Roman" w:eastAsia="宋体"/>
          <w:b w:val="0"/>
          <w:i w:val="0"/>
          <w:sz w:val="21"/>
        </w:rPr>
        <w:t>离线输入为 PGM 占据栅格地图及 YAML 元数据。实验地图分辨率为 0.05 m/格，地图原点为 (−9.4706 m, −5.5348 m)。地图像素坐标 (u, v) 的中心点被转换为 map 坐标系下的位置：</w:t>
      </w:r>
    </w:p>
    <w:p>
      <w:pPr>
        <w:spacing w:before="40" w:after="80" w:line="264" w:lineRule="auto"/>
        <w:jc w:val="center"/>
      </w:pPr>
      <w:r>
        <w:rPr>
          <w:rFonts w:ascii="Times New Roman" w:hAnsi="Times New Roman" w:eastAsia="Times New Roman"/>
          <w:b w:val="0"/>
          <w:i w:val="0"/>
          <w:sz w:val="20"/>
        </w:rPr>
        <w:t>x = origin_x + (u + 0.5)r，    y = origin_y + (H − v − 0.5)r。</w:t>
      </w:r>
    </w:p>
    <w:p>
      <w:pPr>
        <w:spacing w:before="0" w:after="100" w:line="324" w:lineRule="auto"/>
      </w:pPr>
      <w:r>
        <w:rPr>
          <w:rFonts w:ascii="Times New Roman" w:hAnsi="Times New Roman" w:eastAsia="宋体"/>
          <w:b w:val="0"/>
          <w:i w:val="0"/>
          <w:sz w:val="21"/>
        </w:rPr>
        <w:t>其中，r 为地图分辨率，H 为图像高度。map、odom、base_footprint 与 laser 坐标系的关系由 ROS 2 TF 树维护。为保证随机出生安全性，地图空闲区经距离变换处理，仅从净空不小于 2.0 m 的候选区域随机采样；该采样策略服务于实验安全与覆盖，不构成算法性能结论。针对当前地图—Gazebo world 组合，系统配置了固定的离线位姿偏置；该配置只适用于该地图对，不能泛化为跨地图参数。</w:t>
      </w:r>
    </w:p>
    <w:p>
      <w:pPr>
        <w:keepNext/>
        <w:spacing w:before="140" w:after="80" w:line="300" w:lineRule="auto"/>
      </w:pPr>
      <w:r>
        <w:rPr>
          <w:rFonts w:ascii="Times New Roman" w:hAnsi="Times New Roman" w:eastAsia="黑体"/>
          <w:b/>
          <w:i w:val="0"/>
          <w:sz w:val="22"/>
        </w:rPr>
        <w:t>1.2  ORB 全局粗定位</w:t>
      </w:r>
    </w:p>
    <w:p>
      <w:pPr>
        <w:spacing w:before="0" w:after="100" w:line="324" w:lineRule="auto"/>
      </w:pPr>
      <w:r>
        <w:rPr>
          <w:rFonts w:ascii="Times New Roman" w:hAnsi="Times New Roman" w:eastAsia="宋体"/>
          <w:b w:val="0"/>
          <w:i w:val="0"/>
          <w:sz w:val="21"/>
        </w:rPr>
        <w:t>实时 LaserScan 中满足 0 &lt; range &lt; 8.0 m 的量测被投影到以机器人为中心的灰度图像。对于每个候选地图区域，利用相同分辨率生成模拟扫描图像。随后提取 ORB 关键点与二进制描述子，执行描述子匹配，并用 RANSAC 剔除不满足几何关系的匹配对[6-7]。匹配求解器输出候选位置、航向及 F1 型评分；系统从满足几何约束的候选中选取评分最高者作为初始位姿。</w:t>
      </w:r>
    </w:p>
    <w:p>
      <w:pPr>
        <w:spacing w:before="0" w:after="100" w:line="324" w:lineRule="auto"/>
      </w:pPr>
      <w:r>
        <w:rPr>
          <w:rFonts w:ascii="Times New Roman" w:hAnsi="Times New Roman" w:eastAsia="宋体"/>
          <w:b w:val="0"/>
          <w:i w:val="0"/>
          <w:sz w:val="21"/>
        </w:rPr>
        <w:t>一次性全局定位节点在收集至少 3 帧扫描后执行求解，并发布 map→odom 变换。若超过配置的匹配时间未获得可用结果，则记录 ORB_TIMEOUT；该状态不计入成功样本的误差统计，但保留在成功率分母中。</w:t>
      </w:r>
    </w:p>
    <w:p>
      <w:pPr>
        <w:spacing w:before="60" w:after="120" w:line="264" w:lineRule="auto"/>
        <w:jc w:val="center"/>
      </w:pPr>
      <w:r>
        <w:rPr>
          <w:rFonts w:ascii="Times New Roman" w:hAnsi="Times New Roman" w:eastAsia="宋体"/>
          <w:b w:val="0"/>
          <w:i w:val="0"/>
          <w:sz w:val="18"/>
        </w:rPr>
        <w:t>图1  全局初始位姿估计与局部修正流程（建议后续替换为系统流程图）</w:t>
      </w:r>
    </w:p>
    <w:p>
      <w:pPr>
        <w:keepNext/>
        <w:spacing w:before="140" w:after="80" w:line="300" w:lineRule="auto"/>
      </w:pPr>
      <w:r>
        <w:rPr>
          <w:rFonts w:ascii="Times New Roman" w:hAnsi="Times New Roman" w:eastAsia="黑体"/>
          <w:b/>
          <w:i w:val="0"/>
          <w:sz w:val="22"/>
        </w:rPr>
        <w:t>1.3  局部周期修正与一致性门限（预实验阶段）</w:t>
      </w:r>
    </w:p>
    <w:p>
      <w:pPr>
        <w:spacing w:before="0" w:after="100" w:line="324" w:lineRule="auto"/>
      </w:pPr>
      <w:r>
        <w:rPr>
          <w:rFonts w:ascii="Times New Roman" w:hAnsi="Times New Roman" w:eastAsia="宋体"/>
          <w:b w:val="0"/>
          <w:i w:val="0"/>
          <w:sz w:val="21"/>
        </w:rPr>
        <w:t>持续定位阶段以当前 /localized_odom 位姿为中心裁剪局部地图，裁剪半径覆盖 8.0 m 激光范围并留出约 1.0 m 余量。ORB 地图匹配器每 2.0 s 触发一次局部匹配，最多迭代 50 次，将地图系的位姿误差转换到 base_footprint 局部坐标系，并以 0.6 的平移增益和 0.5 的航向增益生成修正增量。</w:t>
      </w:r>
    </w:p>
    <w:p>
      <w:pPr>
        <w:spacing w:before="0" w:after="100" w:line="324" w:lineRule="auto"/>
      </w:pPr>
      <w:r>
        <w:rPr>
          <w:rFonts w:ascii="Times New Roman" w:hAnsi="Times New Roman" w:eastAsia="宋体"/>
          <w:b w:val="0"/>
          <w:i w:val="0"/>
          <w:sz w:val="21"/>
        </w:rPr>
        <w:t>里程计融合节点以基础 /odom 为运动输入，接收 /orb/delta_odom 修正。当修正观测过期（阈值 5.0 s）、与历史状态无法对齐，或修正平移量超过 0.20 m、航向量超过 20° 时，事件分别标记为 stale、missing_history 或 rejected；通过门限的修正才标记为 fused。该设计用于避免不一致的局部匹配直接写入轨迹。当前阈值是系统配置，不表示经充分调参得到的最优值。</w:t>
      </w:r>
    </w:p>
    <w:p>
      <w:pPr>
        <w:keepNext/>
        <w:spacing w:before="180" w:after="80" w:line="300" w:lineRule="auto"/>
      </w:pPr>
      <w:r>
        <w:rPr>
          <w:rFonts w:ascii="Times New Roman" w:hAnsi="Times New Roman" w:eastAsia="黑体"/>
          <w:b/>
          <w:i w:val="0"/>
          <w:sz w:val="24"/>
        </w:rPr>
        <w:t>2  实验设计与结果</w:t>
      </w:r>
    </w:p>
    <w:p>
      <w:pPr>
        <w:keepNext/>
        <w:spacing w:before="140" w:after="80" w:line="300" w:lineRule="auto"/>
      </w:pPr>
      <w:r>
        <w:rPr>
          <w:rFonts w:ascii="Times New Roman" w:hAnsi="Times New Roman" w:eastAsia="黑体"/>
          <w:b/>
          <w:i w:val="0"/>
          <w:sz w:val="22"/>
        </w:rPr>
        <w:t>2.1  实验平台与评价指标</w:t>
      </w:r>
    </w:p>
    <w:p>
      <w:pPr>
        <w:spacing w:before="0" w:after="100" w:line="324" w:lineRule="auto"/>
      </w:pPr>
      <w:r>
        <w:rPr>
          <w:rFonts w:ascii="Times New Roman" w:hAnsi="Times New Roman" w:eastAsia="宋体"/>
          <w:b w:val="0"/>
          <w:i w:val="0"/>
          <w:sz w:val="21"/>
        </w:rPr>
        <w:t>实验在 Ubuntu 22.04、ROS 2 Humble 与 Gazebo 仿真环境中进行，机器人使用二维激光雷达和轮式里程计；Gazebo 模型位姿作为仿真真值。第一阶段固定最终导航定位系统配置，在同一地图上开展 100 次独立随机初始 (x, y, yaw) 试验。成功率以全部 100 次为分母；平均 XY 误差、RMSE、P95 和平均航向误差仅在成功样本上计算。</w:t>
      </w:r>
    </w:p>
    <w:p>
      <w:pPr>
        <w:spacing w:before="0" w:after="100" w:line="324" w:lineRule="auto"/>
      </w:pPr>
      <w:r>
        <w:rPr>
          <w:rFonts w:ascii="Times New Roman" w:hAnsi="Times New Roman" w:eastAsia="宋体"/>
          <w:b w:val="0"/>
          <w:i w:val="0"/>
          <w:sz w:val="21"/>
        </w:rPr>
        <w:t>第二阶段暂定采用 ATE RMSE、ATE 均值、ATE P95、1 s 间隔的 RPE 平移 RMSE、RPE 航向 RMSE、终点误差、有效修正率、拒绝率、超时率和平均匹配耗时作为记录项。正式对比前，应固定地图、传感器频率、起终点、运动轨迹和每组重复次数，并将全局重定位误差与持续运动误差分开统计。</w:t>
      </w:r>
    </w:p>
    <w:p>
      <w:pPr>
        <w:keepNext/>
        <w:spacing w:before="140" w:after="80" w:line="300" w:lineRule="auto"/>
      </w:pPr>
      <w:r>
        <w:rPr>
          <w:rFonts w:ascii="Times New Roman" w:hAnsi="Times New Roman" w:eastAsia="黑体"/>
          <w:b/>
          <w:i w:val="0"/>
          <w:sz w:val="22"/>
        </w:rPr>
        <w:t>2.2  全局初始位姿定位结果</w:t>
      </w:r>
    </w:p>
    <w:tbl>
      <w:tblPr>
        <w:tblW w:type="auto" w:w="0"/>
        <w:jc w:val="center"/>
        <w:tblLayout w:type="fixed"/>
        <w:tblLook w:firstColumn="1" w:firstRow="1" w:lastColumn="0" w:lastRow="0" w:noHBand="0" w:noVBand="1" w:val="04A0"/>
        <w:tblBorders>
          <w:top w:val="single" w:sz="12" w:color="000000"/>
          <w:bottom w:val="single" w:sz="12" w:color="000000"/>
          <w:left w:val="nil" w:sz="0" w:color="000000"/>
          <w:right w:val="nil" w:sz="0" w:color="000000"/>
          <w:insideH w:val="nil" w:sz="0" w:color="000000"/>
          <w:insideV w:val="nil" w:sz="0" w:color="000000"/>
        </w:tblBorders>
      </w:tblPr>
      <w:tblGrid>
        <w:gridCol w:w="1187"/>
        <w:gridCol w:w="1187"/>
        <w:gridCol w:w="1187"/>
        <w:gridCol w:w="1187"/>
        <w:gridCol w:w="1187"/>
        <w:gridCol w:w="1187"/>
        <w:gridCol w:w="1187"/>
      </w:tblGrid>
      <w:tr>
        <w:trPr>
          <w:tblHeader w:val="true"/>
        </w:trPr>
        <w:tc>
          <w:tcPr>
            <w:tcW w:type="dxa" w:w="1304"/>
            <w:vAlign w:val="center"/>
            <w:tcMar>
              <w:top w:w="80" w:type="dxa"/>
              <w:start w:w="100" w:type="dxa"/>
              <w:bottom w:w="80" w:type="dxa"/>
              <w:end w:w="100" w:type="dxa"/>
            </w:tcMar>
            <w:tcBorders>
              <w:bottom w:val="single" w:sz="6" w:color="000000"/>
            </w:tcBorders>
          </w:tcPr>
          <w:p>
            <w:pPr>
              <w:spacing w:before="0" w:after="0" w:line="276" w:lineRule="auto"/>
              <w:jc w:val="center"/>
            </w:pPr>
            <w:r/>
            <w:r>
              <w:rPr>
                <w:rFonts w:ascii="Times New Roman" w:hAnsi="Times New Roman" w:eastAsia="宋体"/>
                <w:b/>
                <w:i w:val="0"/>
                <w:sz w:val="17"/>
              </w:rPr>
              <w:t>系统</w:t>
            </w:r>
          </w:p>
        </w:tc>
        <w:tc>
          <w:tcPr>
            <w:tcW w:type="dxa" w:w="624"/>
            <w:vAlign w:val="center"/>
            <w:tcMar>
              <w:top w:w="80" w:type="dxa"/>
              <w:start w:w="100" w:type="dxa"/>
              <w:bottom w:w="80" w:type="dxa"/>
              <w:end w:w="100" w:type="dxa"/>
            </w:tcMar>
            <w:tcBorders>
              <w:bottom w:val="single" w:sz="6" w:color="000000"/>
            </w:tcBorders>
          </w:tcPr>
          <w:p>
            <w:pPr>
              <w:spacing w:before="0" w:after="0" w:line="276" w:lineRule="auto"/>
              <w:jc w:val="center"/>
            </w:pPr>
            <w:r/>
            <w:r>
              <w:rPr>
                <w:rFonts w:ascii="Times New Roman" w:hAnsi="Times New Roman" w:eastAsia="宋体"/>
                <w:b/>
                <w:i w:val="0"/>
                <w:sz w:val="17"/>
              </w:rPr>
              <w:t>试验次数</w:t>
            </w:r>
          </w:p>
        </w:tc>
        <w:tc>
          <w:tcPr>
            <w:tcW w:type="dxa" w:w="737"/>
            <w:vAlign w:val="center"/>
            <w:tcMar>
              <w:top w:w="80" w:type="dxa"/>
              <w:start w:w="100" w:type="dxa"/>
              <w:bottom w:w="80" w:type="dxa"/>
              <w:end w:w="100" w:type="dxa"/>
            </w:tcMar>
            <w:tcBorders>
              <w:bottom w:val="single" w:sz="6" w:color="000000"/>
            </w:tcBorders>
          </w:tcPr>
          <w:p>
            <w:pPr>
              <w:spacing w:before="0" w:after="0" w:line="276" w:lineRule="auto"/>
              <w:jc w:val="center"/>
            </w:pPr>
            <w:r/>
            <w:r>
              <w:rPr>
                <w:rFonts w:ascii="Times New Roman" w:hAnsi="Times New Roman" w:eastAsia="宋体"/>
                <w:b/>
                <w:i w:val="0"/>
                <w:sz w:val="17"/>
              </w:rPr>
              <w:t>成功率</w:t>
            </w:r>
          </w:p>
        </w:tc>
        <w:tc>
          <w:tcPr>
            <w:tcW w:type="dxa" w:w="850"/>
            <w:vAlign w:val="center"/>
            <w:tcMar>
              <w:top w:w="80" w:type="dxa"/>
              <w:start w:w="100" w:type="dxa"/>
              <w:bottom w:w="80" w:type="dxa"/>
              <w:end w:w="100" w:type="dxa"/>
            </w:tcMar>
            <w:tcBorders>
              <w:bottom w:val="single" w:sz="6" w:color="000000"/>
            </w:tcBorders>
          </w:tcPr>
          <w:p>
            <w:pPr>
              <w:spacing w:before="0" w:after="0" w:line="276" w:lineRule="auto"/>
              <w:jc w:val="center"/>
            </w:pPr>
            <w:r/>
            <w:r>
              <w:rPr>
                <w:rFonts w:ascii="Times New Roman" w:hAnsi="Times New Roman" w:eastAsia="宋体"/>
                <w:b/>
                <w:i w:val="0"/>
                <w:sz w:val="17"/>
              </w:rPr>
              <w:t>平均 XY 误差</w:t>
            </w:r>
          </w:p>
        </w:tc>
        <w:tc>
          <w:tcPr>
            <w:tcW w:type="dxa" w:w="680"/>
            <w:vAlign w:val="center"/>
            <w:tcMar>
              <w:top w:w="80" w:type="dxa"/>
              <w:start w:w="100" w:type="dxa"/>
              <w:bottom w:w="80" w:type="dxa"/>
              <w:end w:w="100" w:type="dxa"/>
            </w:tcMar>
            <w:tcBorders>
              <w:bottom w:val="single" w:sz="6" w:color="000000"/>
            </w:tcBorders>
          </w:tcPr>
          <w:p>
            <w:pPr>
              <w:spacing w:before="0" w:after="0" w:line="276" w:lineRule="auto"/>
              <w:jc w:val="center"/>
            </w:pPr>
            <w:r/>
            <w:r>
              <w:rPr>
                <w:rFonts w:ascii="Times New Roman" w:hAnsi="Times New Roman" w:eastAsia="宋体"/>
                <w:b/>
                <w:i w:val="0"/>
                <w:sz w:val="17"/>
              </w:rPr>
              <w:t>RMSE</w:t>
            </w:r>
          </w:p>
        </w:tc>
        <w:tc>
          <w:tcPr>
            <w:tcW w:type="dxa" w:w="680"/>
            <w:vAlign w:val="center"/>
            <w:tcMar>
              <w:top w:w="80" w:type="dxa"/>
              <w:start w:w="100" w:type="dxa"/>
              <w:bottom w:w="80" w:type="dxa"/>
              <w:end w:w="100" w:type="dxa"/>
            </w:tcMar>
            <w:tcBorders>
              <w:bottom w:val="single" w:sz="6" w:color="000000"/>
            </w:tcBorders>
          </w:tcPr>
          <w:p>
            <w:pPr>
              <w:spacing w:before="0" w:after="0" w:line="276" w:lineRule="auto"/>
              <w:jc w:val="center"/>
            </w:pPr>
            <w:r/>
            <w:r>
              <w:rPr>
                <w:rFonts w:ascii="Times New Roman" w:hAnsi="Times New Roman" w:eastAsia="宋体"/>
                <w:b/>
                <w:i w:val="0"/>
                <w:sz w:val="17"/>
              </w:rPr>
              <w:t>P95</w:t>
            </w:r>
          </w:p>
        </w:tc>
        <w:tc>
          <w:tcPr>
            <w:tcW w:type="dxa" w:w="794"/>
            <w:vAlign w:val="center"/>
            <w:tcMar>
              <w:top w:w="80" w:type="dxa"/>
              <w:start w:w="100" w:type="dxa"/>
              <w:bottom w:w="80" w:type="dxa"/>
              <w:end w:w="100" w:type="dxa"/>
            </w:tcMar>
            <w:tcBorders>
              <w:bottom w:val="single" w:sz="6" w:color="000000"/>
            </w:tcBorders>
          </w:tcPr>
          <w:p>
            <w:pPr>
              <w:spacing w:before="0" w:after="0" w:line="276" w:lineRule="auto"/>
              <w:jc w:val="center"/>
            </w:pPr>
            <w:r/>
            <w:r>
              <w:rPr>
                <w:rFonts w:ascii="Times New Roman" w:hAnsi="Times New Roman" w:eastAsia="宋体"/>
                <w:b/>
                <w:i w:val="0"/>
                <w:sz w:val="17"/>
              </w:rPr>
              <w:t>平均航向误差</w:t>
            </w:r>
          </w:p>
        </w:tc>
      </w:tr>
      <w:tr>
        <w:tc>
          <w:tcPr>
            <w:tcW w:type="dxa" w:w="1304"/>
            <w:vAlign w:val="center"/>
            <w:tcMar>
              <w:top w:w="80" w:type="dxa"/>
              <w:start w:w="100" w:type="dxa"/>
              <w:bottom w:w="80" w:type="dxa"/>
              <w:end w:w="100" w:type="dxa"/>
            </w:tcMar>
          </w:tcPr>
          <w:p>
            <w:pPr>
              <w:spacing w:before="0" w:after="0" w:line="276" w:lineRule="auto"/>
              <w:jc w:val="center"/>
            </w:pPr>
            <w:r/>
            <w:r>
              <w:rPr>
                <w:rFonts w:ascii="Times New Roman" w:hAnsi="Times New Roman" w:eastAsia="宋体"/>
                <w:b w:val="0"/>
                <w:i w:val="0"/>
                <w:sz w:val="17"/>
              </w:rPr>
              <w:t>最终导航定位系统</w:t>
            </w:r>
          </w:p>
        </w:tc>
        <w:tc>
          <w:tcPr>
            <w:tcW w:type="dxa" w:w="624"/>
            <w:vAlign w:val="center"/>
            <w:tcMar>
              <w:top w:w="80" w:type="dxa"/>
              <w:start w:w="100" w:type="dxa"/>
              <w:bottom w:w="80" w:type="dxa"/>
              <w:end w:w="100" w:type="dxa"/>
            </w:tcMar>
          </w:tcPr>
          <w:p>
            <w:pPr>
              <w:spacing w:before="0" w:after="0" w:line="276" w:lineRule="auto"/>
              <w:jc w:val="center"/>
            </w:pPr>
            <w:r/>
            <w:r>
              <w:rPr>
                <w:rFonts w:ascii="Times New Roman" w:hAnsi="Times New Roman" w:eastAsia="宋体"/>
                <w:b w:val="0"/>
                <w:i w:val="0"/>
                <w:sz w:val="17"/>
              </w:rPr>
              <w:t>100</w:t>
            </w:r>
          </w:p>
        </w:tc>
        <w:tc>
          <w:tcPr>
            <w:tcW w:type="dxa" w:w="737"/>
            <w:vAlign w:val="center"/>
            <w:tcMar>
              <w:top w:w="80" w:type="dxa"/>
              <w:start w:w="100" w:type="dxa"/>
              <w:bottom w:w="80" w:type="dxa"/>
              <w:end w:w="100" w:type="dxa"/>
            </w:tcMar>
          </w:tcPr>
          <w:p>
            <w:pPr>
              <w:spacing w:before="0" w:after="0" w:line="276" w:lineRule="auto"/>
              <w:jc w:val="center"/>
            </w:pPr>
            <w:r/>
            <w:r>
              <w:rPr>
                <w:rFonts w:ascii="Times New Roman" w:hAnsi="Times New Roman" w:eastAsia="宋体"/>
                <w:b w:val="0"/>
                <w:i w:val="0"/>
                <w:sz w:val="17"/>
              </w:rPr>
              <w:t>96% (96/100)</w:t>
            </w:r>
          </w:p>
        </w:tc>
        <w:tc>
          <w:tcPr>
            <w:tcW w:type="dxa" w:w="850"/>
            <w:vAlign w:val="center"/>
            <w:tcMar>
              <w:top w:w="80" w:type="dxa"/>
              <w:start w:w="100" w:type="dxa"/>
              <w:bottom w:w="80" w:type="dxa"/>
              <w:end w:w="100" w:type="dxa"/>
            </w:tcMar>
          </w:tcPr>
          <w:p>
            <w:pPr>
              <w:spacing w:before="0" w:after="0" w:line="276" w:lineRule="auto"/>
              <w:jc w:val="center"/>
            </w:pPr>
            <w:r/>
            <w:r>
              <w:rPr>
                <w:rFonts w:ascii="Times New Roman" w:hAnsi="Times New Roman" w:eastAsia="宋体"/>
                <w:b w:val="0"/>
                <w:i w:val="0"/>
                <w:sz w:val="17"/>
              </w:rPr>
              <w:t>0.1012 m</w:t>
            </w:r>
          </w:p>
        </w:tc>
        <w:tc>
          <w:tcPr>
            <w:tcW w:type="dxa" w:w="680"/>
            <w:vAlign w:val="center"/>
            <w:tcMar>
              <w:top w:w="80" w:type="dxa"/>
              <w:start w:w="100" w:type="dxa"/>
              <w:bottom w:w="80" w:type="dxa"/>
              <w:end w:w="100" w:type="dxa"/>
            </w:tcMar>
          </w:tcPr>
          <w:p>
            <w:pPr>
              <w:spacing w:before="0" w:after="0" w:line="276" w:lineRule="auto"/>
              <w:jc w:val="center"/>
            </w:pPr>
            <w:r/>
            <w:r>
              <w:rPr>
                <w:rFonts w:ascii="Times New Roman" w:hAnsi="Times New Roman" w:eastAsia="宋体"/>
                <w:b w:val="0"/>
                <w:i w:val="0"/>
                <w:sz w:val="17"/>
              </w:rPr>
              <w:t>0.1032 m</w:t>
            </w:r>
          </w:p>
        </w:tc>
        <w:tc>
          <w:tcPr>
            <w:tcW w:type="dxa" w:w="680"/>
            <w:vAlign w:val="center"/>
            <w:tcMar>
              <w:top w:w="80" w:type="dxa"/>
              <w:start w:w="100" w:type="dxa"/>
              <w:bottom w:w="80" w:type="dxa"/>
              <w:end w:w="100" w:type="dxa"/>
            </w:tcMar>
          </w:tcPr>
          <w:p>
            <w:pPr>
              <w:spacing w:before="0" w:after="0" w:line="276" w:lineRule="auto"/>
              <w:jc w:val="center"/>
            </w:pPr>
            <w:r/>
            <w:r>
              <w:rPr>
                <w:rFonts w:ascii="Times New Roman" w:hAnsi="Times New Roman" w:eastAsia="宋体"/>
                <w:b w:val="0"/>
                <w:i w:val="0"/>
                <w:sz w:val="17"/>
              </w:rPr>
              <w:t>0.1347 m</w:t>
            </w:r>
          </w:p>
        </w:tc>
        <w:tc>
          <w:tcPr>
            <w:tcW w:type="dxa" w:w="794"/>
            <w:vAlign w:val="center"/>
            <w:tcMar>
              <w:top w:w="80" w:type="dxa"/>
              <w:start w:w="100" w:type="dxa"/>
              <w:bottom w:w="80" w:type="dxa"/>
              <w:end w:w="100" w:type="dxa"/>
            </w:tcMar>
          </w:tcPr>
          <w:p>
            <w:pPr>
              <w:spacing w:before="0" w:after="0" w:line="276" w:lineRule="auto"/>
              <w:jc w:val="center"/>
            </w:pPr>
            <w:r/>
            <w:r>
              <w:rPr>
                <w:rFonts w:ascii="Times New Roman" w:hAnsi="Times New Roman" w:eastAsia="宋体"/>
                <w:b w:val="0"/>
                <w:i w:val="0"/>
                <w:sz w:val="17"/>
              </w:rPr>
              <w:t>0.71°</w:t>
            </w:r>
          </w:p>
        </w:tc>
      </w:tr>
    </w:tbl>
    <w:p>
      <w:pPr>
        <w:spacing w:before="60" w:after="120" w:line="264" w:lineRule="auto"/>
        <w:jc w:val="center"/>
      </w:pPr>
      <w:r>
        <w:rPr>
          <w:rFonts w:ascii="Times New Roman" w:hAnsi="Times New Roman" w:eastAsia="宋体"/>
          <w:b w:val="0"/>
          <w:i w:val="0"/>
          <w:sz w:val="18"/>
        </w:rPr>
        <w:t>表1  100 次随机初始位姿全局定位结果（误差仅统计 96 个成功样本）</w:t>
      </w:r>
    </w:p>
    <w:p>
      <w:pPr>
        <w:spacing w:before="0" w:after="100" w:line="324" w:lineRule="auto"/>
      </w:pPr>
      <w:r>
        <w:rPr>
          <w:rFonts w:ascii="Times New Roman" w:hAnsi="Times New Roman" w:eastAsia="宋体"/>
          <w:b w:val="0"/>
          <w:i w:val="0"/>
          <w:sz w:val="21"/>
        </w:rPr>
        <w:t>表1表明，最终导航定位系统在本仿真地图与随机出生约束下完成 96 次有效定位。其余 4 次被记录为 ORB_TIMEOUT，因此本节将“定位精度”和“可用性”分开报告：前者只针对成功样本，后者以全部独立试验为分母。该结果仅描述当前地图、传感器模型和固定配置下的仿真表现。</w:t>
      </w:r>
    </w:p>
    <w:p>
      <w:pPr>
        <w:spacing w:before="60" w:after="120" w:line="264" w:lineRule="auto"/>
        <w:jc w:val="center"/>
      </w:pPr>
      <w:r>
        <w:rPr>
          <w:rFonts w:ascii="Times New Roman" w:hAnsi="Times New Roman" w:eastAsia="宋体"/>
          <w:b w:val="0"/>
          <w:i w:val="0"/>
          <w:sz w:val="18"/>
        </w:rPr>
        <w:t>图2  实时扫描图像、候选模拟扫描与 ORB+RANSAC 匹配示例（待补充系统截图）</w:t>
      </w:r>
    </w:p>
    <w:p>
      <w:pPr>
        <w:spacing w:before="60" w:after="120" w:line="264" w:lineRule="auto"/>
        <w:jc w:val="center"/>
      </w:pPr>
      <w:r>
        <w:rPr>
          <w:rFonts w:ascii="Times New Roman" w:hAnsi="Times New Roman" w:eastAsia="宋体"/>
          <w:b w:val="0"/>
          <w:i w:val="0"/>
          <w:sz w:val="18"/>
        </w:rPr>
        <w:t>图3  100 次试验的 XY 误差分布（待由原始试验记录绘制直方图或 CDF）</w:t>
      </w:r>
    </w:p>
    <w:p>
      <w:pPr>
        <w:keepNext/>
        <w:spacing w:before="140" w:after="80" w:line="300" w:lineRule="auto"/>
      </w:pPr>
      <w:r>
        <w:rPr>
          <w:rFonts w:ascii="Times New Roman" w:hAnsi="Times New Roman" w:eastAsia="黑体"/>
          <w:b/>
          <w:i w:val="0"/>
          <w:sz w:val="22"/>
        </w:rPr>
        <w:t>2.3  局部修正预实验记录（暂定数据，不作结论）</w:t>
      </w:r>
    </w:p>
    <w:p>
      <w:pPr>
        <w:spacing w:before="0" w:after="100" w:line="324" w:lineRule="auto"/>
      </w:pPr>
      <w:r>
        <w:rPr>
          <w:rFonts w:ascii="Times New Roman" w:hAnsi="Times New Roman" w:eastAsia="宋体"/>
          <w:b w:val="0"/>
          <w:i w:val="0"/>
          <w:sz w:val="21"/>
        </w:rPr>
        <w:t>表2整理自 /home/xu/auto_nav2_eval 下的当前汇总 CSV。该目录数据的重复次数不均衡：仅里程计组和 ORB 修正组各 1 次，ORB+融合组 2 次；此外，各组运行时配置和轨迹一致性仍需复核。因此，表中数值仅用于记录当前测量快照，不能据此比较组间优劣、宣称融合收益或形成最终结论。</w:t>
      </w:r>
    </w:p>
    <w:tbl>
      <w:tblPr>
        <w:tblW w:type="auto" w:w="0"/>
        <w:jc w:val="center"/>
        <w:tblLayout w:type="fixed"/>
        <w:tblLook w:firstColumn="1" w:firstRow="1" w:lastColumn="0" w:lastRow="0" w:noHBand="0" w:noVBand="1" w:val="04A0"/>
        <w:tblBorders>
          <w:top w:val="single" w:sz="12" w:color="000000"/>
          <w:bottom w:val="single" w:sz="12" w:color="000000"/>
          <w:left w:val="nil" w:sz="0" w:color="000000"/>
          <w:right w:val="nil" w:sz="0" w:color="000000"/>
          <w:insideH w:val="nil" w:sz="0" w:color="000000"/>
          <w:insideV w:val="nil" w:sz="0" w:color="000000"/>
        </w:tblBorders>
      </w:tblPr>
      <w:tblGrid>
        <w:gridCol w:w="1039"/>
        <w:gridCol w:w="1039"/>
        <w:gridCol w:w="1039"/>
        <w:gridCol w:w="1039"/>
        <w:gridCol w:w="1039"/>
        <w:gridCol w:w="1039"/>
        <w:gridCol w:w="1039"/>
        <w:gridCol w:w="1039"/>
      </w:tblGrid>
      <w:tr>
        <w:trPr>
          <w:tblHeader w:val="true"/>
        </w:trPr>
        <w:tc>
          <w:tcPr>
            <w:tcW w:type="dxa" w:w="935"/>
            <w:vAlign w:val="center"/>
            <w:tcMar>
              <w:top w:w="80" w:type="dxa"/>
              <w:start w:w="100" w:type="dxa"/>
              <w:bottom w:w="80" w:type="dxa"/>
              <w:end w:w="100" w:type="dxa"/>
            </w:tcMar>
            <w:tcBorders>
              <w:bottom w:val="single" w:sz="6" w:color="000000"/>
            </w:tcBorders>
          </w:tcPr>
          <w:p>
            <w:pPr>
              <w:spacing w:before="0" w:after="0" w:line="276" w:lineRule="auto"/>
              <w:jc w:val="center"/>
            </w:pPr>
            <w:r/>
            <w:r>
              <w:rPr>
                <w:rFonts w:ascii="Times New Roman" w:hAnsi="Times New Roman" w:eastAsia="宋体"/>
                <w:b/>
                <w:i w:val="0"/>
                <w:sz w:val="17"/>
              </w:rPr>
              <w:t>组别</w:t>
            </w:r>
          </w:p>
        </w:tc>
        <w:tc>
          <w:tcPr>
            <w:tcW w:type="dxa" w:w="454"/>
            <w:vAlign w:val="center"/>
            <w:tcMar>
              <w:top w:w="80" w:type="dxa"/>
              <w:start w:w="100" w:type="dxa"/>
              <w:bottom w:w="80" w:type="dxa"/>
              <w:end w:w="100" w:type="dxa"/>
            </w:tcMar>
            <w:tcBorders>
              <w:bottom w:val="single" w:sz="6" w:color="000000"/>
            </w:tcBorders>
          </w:tcPr>
          <w:p>
            <w:pPr>
              <w:spacing w:before="0" w:after="0" w:line="276" w:lineRule="auto"/>
              <w:jc w:val="center"/>
            </w:pPr>
            <w:r/>
            <w:r>
              <w:rPr>
                <w:rFonts w:ascii="Times New Roman" w:hAnsi="Times New Roman" w:eastAsia="宋体"/>
                <w:b/>
                <w:i w:val="0"/>
                <w:sz w:val="17"/>
              </w:rPr>
              <w:t>运行次数</w:t>
            </w:r>
          </w:p>
        </w:tc>
        <w:tc>
          <w:tcPr>
            <w:tcW w:type="dxa" w:w="624"/>
            <w:vAlign w:val="center"/>
            <w:tcMar>
              <w:top w:w="80" w:type="dxa"/>
              <w:start w:w="100" w:type="dxa"/>
              <w:bottom w:w="80" w:type="dxa"/>
              <w:end w:w="100" w:type="dxa"/>
            </w:tcMar>
            <w:tcBorders>
              <w:bottom w:val="single" w:sz="6" w:color="000000"/>
            </w:tcBorders>
          </w:tcPr>
          <w:p>
            <w:pPr>
              <w:spacing w:before="0" w:after="0" w:line="276" w:lineRule="auto"/>
              <w:jc w:val="center"/>
            </w:pPr>
            <w:r/>
            <w:r>
              <w:rPr>
                <w:rFonts w:ascii="Times New Roman" w:hAnsi="Times New Roman" w:eastAsia="宋体"/>
                <w:b/>
                <w:i w:val="0"/>
                <w:sz w:val="17"/>
              </w:rPr>
              <w:t>ATE RMSE / m</w:t>
            </w:r>
          </w:p>
        </w:tc>
        <w:tc>
          <w:tcPr>
            <w:tcW w:type="dxa" w:w="709"/>
            <w:vAlign w:val="center"/>
            <w:tcMar>
              <w:top w:w="80" w:type="dxa"/>
              <w:start w:w="100" w:type="dxa"/>
              <w:bottom w:w="80" w:type="dxa"/>
              <w:end w:w="100" w:type="dxa"/>
            </w:tcMar>
            <w:tcBorders>
              <w:bottom w:val="single" w:sz="6" w:color="000000"/>
            </w:tcBorders>
          </w:tcPr>
          <w:p>
            <w:pPr>
              <w:spacing w:before="0" w:after="0" w:line="276" w:lineRule="auto"/>
              <w:jc w:val="center"/>
            </w:pPr>
            <w:r/>
            <w:r>
              <w:rPr>
                <w:rFonts w:ascii="Times New Roman" w:hAnsi="Times New Roman" w:eastAsia="宋体"/>
                <w:b/>
                <w:i w:val="0"/>
                <w:sz w:val="17"/>
              </w:rPr>
              <w:t>RPE平移RMSE / m</w:t>
            </w:r>
          </w:p>
        </w:tc>
        <w:tc>
          <w:tcPr>
            <w:tcW w:type="dxa" w:w="709"/>
            <w:vAlign w:val="center"/>
            <w:tcMar>
              <w:top w:w="80" w:type="dxa"/>
              <w:start w:w="100" w:type="dxa"/>
              <w:bottom w:w="80" w:type="dxa"/>
              <w:end w:w="100" w:type="dxa"/>
            </w:tcMar>
            <w:tcBorders>
              <w:bottom w:val="single" w:sz="6" w:color="000000"/>
            </w:tcBorders>
          </w:tcPr>
          <w:p>
            <w:pPr>
              <w:spacing w:before="0" w:after="0" w:line="276" w:lineRule="auto"/>
              <w:jc w:val="center"/>
            </w:pPr>
            <w:r/>
            <w:r>
              <w:rPr>
                <w:rFonts w:ascii="Times New Roman" w:hAnsi="Times New Roman" w:eastAsia="宋体"/>
                <w:b/>
                <w:i w:val="0"/>
                <w:sz w:val="17"/>
              </w:rPr>
              <w:t>RPE航向RMSE / °</w:t>
            </w:r>
          </w:p>
        </w:tc>
        <w:tc>
          <w:tcPr>
            <w:tcW w:type="dxa" w:w="624"/>
            <w:vAlign w:val="center"/>
            <w:tcMar>
              <w:top w:w="80" w:type="dxa"/>
              <w:start w:w="100" w:type="dxa"/>
              <w:bottom w:w="80" w:type="dxa"/>
              <w:end w:w="100" w:type="dxa"/>
            </w:tcMar>
            <w:tcBorders>
              <w:bottom w:val="single" w:sz="6" w:color="000000"/>
            </w:tcBorders>
          </w:tcPr>
          <w:p>
            <w:pPr>
              <w:spacing w:before="0" w:after="0" w:line="276" w:lineRule="auto"/>
              <w:jc w:val="center"/>
            </w:pPr>
            <w:r/>
            <w:r>
              <w:rPr>
                <w:rFonts w:ascii="Times New Roman" w:hAnsi="Times New Roman" w:eastAsia="宋体"/>
                <w:b/>
                <w:i w:val="0"/>
                <w:sz w:val="17"/>
              </w:rPr>
              <w:t>终点误差 / m</w:t>
            </w:r>
          </w:p>
        </w:tc>
        <w:tc>
          <w:tcPr>
            <w:tcW w:type="dxa" w:w="907"/>
            <w:vAlign w:val="center"/>
            <w:tcMar>
              <w:top w:w="80" w:type="dxa"/>
              <w:start w:w="100" w:type="dxa"/>
              <w:bottom w:w="80" w:type="dxa"/>
              <w:end w:w="100" w:type="dxa"/>
            </w:tcMar>
            <w:tcBorders>
              <w:bottom w:val="single" w:sz="6" w:color="000000"/>
            </w:tcBorders>
          </w:tcPr>
          <w:p>
            <w:pPr>
              <w:spacing w:before="0" w:after="0" w:line="276" w:lineRule="auto"/>
              <w:jc w:val="center"/>
            </w:pPr>
            <w:r/>
            <w:r>
              <w:rPr>
                <w:rFonts w:ascii="Times New Roman" w:hAnsi="Times New Roman" w:eastAsia="宋体"/>
                <w:b/>
                <w:i w:val="0"/>
                <w:sz w:val="17"/>
              </w:rPr>
              <w:t>修正状态</w:t>
            </w:r>
          </w:p>
        </w:tc>
        <w:tc>
          <w:tcPr>
            <w:tcW w:type="dxa" w:w="709"/>
            <w:vAlign w:val="center"/>
            <w:tcMar>
              <w:top w:w="80" w:type="dxa"/>
              <w:start w:w="100" w:type="dxa"/>
              <w:bottom w:w="80" w:type="dxa"/>
              <w:end w:w="100" w:type="dxa"/>
            </w:tcMar>
            <w:tcBorders>
              <w:bottom w:val="single" w:sz="6" w:color="000000"/>
            </w:tcBorders>
          </w:tcPr>
          <w:p>
            <w:pPr>
              <w:spacing w:before="0" w:after="0" w:line="276" w:lineRule="auto"/>
              <w:jc w:val="center"/>
            </w:pPr>
            <w:r/>
            <w:r>
              <w:rPr>
                <w:rFonts w:ascii="Times New Roman" w:hAnsi="Times New Roman" w:eastAsia="宋体"/>
                <w:b/>
                <w:i w:val="0"/>
                <w:sz w:val="17"/>
              </w:rPr>
              <w:t>平均计算耗时 / ms</w:t>
            </w:r>
          </w:p>
        </w:tc>
      </w:tr>
      <w:tr>
        <w:tc>
          <w:tcPr>
            <w:tcW w:type="dxa" w:w="935"/>
            <w:vAlign w:val="center"/>
            <w:tcMar>
              <w:top w:w="80" w:type="dxa"/>
              <w:start w:w="100" w:type="dxa"/>
              <w:bottom w:w="80" w:type="dxa"/>
              <w:end w:w="100" w:type="dxa"/>
            </w:tcMar>
          </w:tcPr>
          <w:p>
            <w:pPr>
              <w:spacing w:before="0" w:after="0" w:line="276" w:lineRule="auto"/>
              <w:jc w:val="center"/>
            </w:pPr>
            <w:r/>
            <w:r>
              <w:rPr>
                <w:rFonts w:ascii="Times New Roman" w:hAnsi="Times New Roman" w:eastAsia="宋体"/>
                <w:b w:val="0"/>
                <w:i w:val="0"/>
                <w:sz w:val="17"/>
              </w:rPr>
              <w:t>仅里程计+IMU</w:t>
            </w:r>
          </w:p>
        </w:tc>
        <w:tc>
          <w:tcPr>
            <w:tcW w:type="dxa" w:w="454"/>
            <w:vAlign w:val="center"/>
            <w:tcMar>
              <w:top w:w="80" w:type="dxa"/>
              <w:start w:w="100" w:type="dxa"/>
              <w:bottom w:w="80" w:type="dxa"/>
              <w:end w:w="100" w:type="dxa"/>
            </w:tcMar>
          </w:tcPr>
          <w:p>
            <w:pPr>
              <w:spacing w:before="0" w:after="0" w:line="276" w:lineRule="auto"/>
              <w:jc w:val="center"/>
            </w:pPr>
            <w:r/>
            <w:r>
              <w:rPr>
                <w:rFonts w:ascii="Times New Roman" w:hAnsi="Times New Roman" w:eastAsia="宋体"/>
                <w:b w:val="0"/>
                <w:i w:val="0"/>
                <w:sz w:val="17"/>
              </w:rPr>
              <w:t>1</w:t>
            </w:r>
          </w:p>
        </w:tc>
        <w:tc>
          <w:tcPr>
            <w:tcW w:type="dxa" w:w="624"/>
            <w:vAlign w:val="center"/>
            <w:tcMar>
              <w:top w:w="80" w:type="dxa"/>
              <w:start w:w="100" w:type="dxa"/>
              <w:bottom w:w="80" w:type="dxa"/>
              <w:end w:w="100" w:type="dxa"/>
            </w:tcMar>
          </w:tcPr>
          <w:p>
            <w:pPr>
              <w:spacing w:before="0" w:after="0" w:line="276" w:lineRule="auto"/>
              <w:jc w:val="center"/>
            </w:pPr>
            <w:r/>
            <w:r>
              <w:rPr>
                <w:rFonts w:ascii="Times New Roman" w:hAnsi="Times New Roman" w:eastAsia="宋体"/>
                <w:b w:val="0"/>
                <w:i w:val="0"/>
                <w:sz w:val="17"/>
              </w:rPr>
              <w:t>0.0713</w:t>
            </w:r>
          </w:p>
        </w:tc>
        <w:tc>
          <w:tcPr>
            <w:tcW w:type="dxa" w:w="709"/>
            <w:vAlign w:val="center"/>
            <w:tcMar>
              <w:top w:w="80" w:type="dxa"/>
              <w:start w:w="100" w:type="dxa"/>
              <w:bottom w:w="80" w:type="dxa"/>
              <w:end w:w="100" w:type="dxa"/>
            </w:tcMar>
          </w:tcPr>
          <w:p>
            <w:pPr>
              <w:spacing w:before="0" w:after="0" w:line="276" w:lineRule="auto"/>
              <w:jc w:val="center"/>
            </w:pPr>
            <w:r/>
            <w:r>
              <w:rPr>
                <w:rFonts w:ascii="Times New Roman" w:hAnsi="Times New Roman" w:eastAsia="宋体"/>
                <w:b w:val="0"/>
                <w:i w:val="0"/>
                <w:sz w:val="17"/>
              </w:rPr>
              <w:t>0.0164</w:t>
            </w:r>
          </w:p>
        </w:tc>
        <w:tc>
          <w:tcPr>
            <w:tcW w:type="dxa" w:w="709"/>
            <w:vAlign w:val="center"/>
            <w:tcMar>
              <w:top w:w="80" w:type="dxa"/>
              <w:start w:w="100" w:type="dxa"/>
              <w:bottom w:w="80" w:type="dxa"/>
              <w:end w:w="100" w:type="dxa"/>
            </w:tcMar>
          </w:tcPr>
          <w:p>
            <w:pPr>
              <w:spacing w:before="0" w:after="0" w:line="276" w:lineRule="auto"/>
              <w:jc w:val="center"/>
            </w:pPr>
            <w:r/>
            <w:r>
              <w:rPr>
                <w:rFonts w:ascii="Times New Roman" w:hAnsi="Times New Roman" w:eastAsia="宋体"/>
                <w:b w:val="0"/>
                <w:i w:val="0"/>
                <w:sz w:val="17"/>
              </w:rPr>
              <w:t>0.6385</w:t>
            </w:r>
          </w:p>
        </w:tc>
        <w:tc>
          <w:tcPr>
            <w:tcW w:type="dxa" w:w="624"/>
            <w:vAlign w:val="center"/>
            <w:tcMar>
              <w:top w:w="80" w:type="dxa"/>
              <w:start w:w="100" w:type="dxa"/>
              <w:bottom w:w="80" w:type="dxa"/>
              <w:end w:w="100" w:type="dxa"/>
            </w:tcMar>
          </w:tcPr>
          <w:p>
            <w:pPr>
              <w:spacing w:before="0" w:after="0" w:line="276" w:lineRule="auto"/>
              <w:jc w:val="center"/>
            </w:pPr>
            <w:r/>
            <w:r>
              <w:rPr>
                <w:rFonts w:ascii="Times New Roman" w:hAnsi="Times New Roman" w:eastAsia="宋体"/>
                <w:b w:val="0"/>
                <w:i w:val="0"/>
                <w:sz w:val="17"/>
              </w:rPr>
              <w:t>0.0823</w:t>
            </w:r>
          </w:p>
        </w:tc>
        <w:tc>
          <w:tcPr>
            <w:tcW w:type="dxa" w:w="907"/>
            <w:vAlign w:val="center"/>
            <w:tcMar>
              <w:top w:w="80" w:type="dxa"/>
              <w:start w:w="100" w:type="dxa"/>
              <w:bottom w:w="80" w:type="dxa"/>
              <w:end w:w="100" w:type="dxa"/>
            </w:tcMar>
          </w:tcPr>
          <w:p>
            <w:pPr>
              <w:spacing w:before="0" w:after="0" w:line="276" w:lineRule="auto"/>
              <w:jc w:val="center"/>
            </w:pPr>
            <w:r/>
            <w:r>
              <w:rPr>
                <w:rFonts w:ascii="Times New Roman" w:hAnsi="Times New Roman" w:eastAsia="宋体"/>
                <w:b w:val="0"/>
                <w:i w:val="0"/>
                <w:sz w:val="17"/>
              </w:rPr>
              <w:t>无 ORB 修正</w:t>
            </w:r>
          </w:p>
        </w:tc>
        <w:tc>
          <w:tcPr>
            <w:tcW w:type="dxa" w:w="709"/>
            <w:vAlign w:val="center"/>
            <w:tcMar>
              <w:top w:w="80" w:type="dxa"/>
              <w:start w:w="100" w:type="dxa"/>
              <w:bottom w:w="80" w:type="dxa"/>
              <w:end w:w="100" w:type="dxa"/>
            </w:tcMar>
          </w:tcPr>
          <w:p>
            <w:pPr>
              <w:spacing w:before="0" w:after="0" w:line="276" w:lineRule="auto"/>
              <w:jc w:val="center"/>
            </w:pPr>
            <w:r/>
            <w:r>
              <w:rPr>
                <w:rFonts w:ascii="Times New Roman" w:hAnsi="Times New Roman" w:eastAsia="宋体"/>
                <w:b w:val="0"/>
                <w:i w:val="0"/>
                <w:sz w:val="17"/>
              </w:rPr>
              <w:t>—</w:t>
            </w:r>
          </w:p>
        </w:tc>
      </w:tr>
      <w:tr>
        <w:tc>
          <w:tcPr>
            <w:tcW w:type="dxa" w:w="935"/>
            <w:vAlign w:val="center"/>
            <w:tcMar>
              <w:top w:w="80" w:type="dxa"/>
              <w:start w:w="100" w:type="dxa"/>
              <w:bottom w:w="80" w:type="dxa"/>
              <w:end w:w="100" w:type="dxa"/>
            </w:tcMar>
          </w:tcPr>
          <w:p>
            <w:pPr>
              <w:spacing w:before="0" w:after="0" w:line="276" w:lineRule="auto"/>
              <w:jc w:val="center"/>
            </w:pPr>
            <w:r/>
            <w:r>
              <w:rPr>
                <w:rFonts w:ascii="Times New Roman" w:hAnsi="Times New Roman" w:eastAsia="宋体"/>
                <w:b w:val="0"/>
                <w:i w:val="0"/>
                <w:sz w:val="17"/>
              </w:rPr>
              <w:t>里程计+ORB+IMU</w:t>
            </w:r>
          </w:p>
        </w:tc>
        <w:tc>
          <w:tcPr>
            <w:tcW w:type="dxa" w:w="454"/>
            <w:vAlign w:val="center"/>
            <w:tcMar>
              <w:top w:w="80" w:type="dxa"/>
              <w:start w:w="100" w:type="dxa"/>
              <w:bottom w:w="80" w:type="dxa"/>
              <w:end w:w="100" w:type="dxa"/>
            </w:tcMar>
          </w:tcPr>
          <w:p>
            <w:pPr>
              <w:spacing w:before="0" w:after="0" w:line="276" w:lineRule="auto"/>
              <w:jc w:val="center"/>
            </w:pPr>
            <w:r/>
            <w:r>
              <w:rPr>
                <w:rFonts w:ascii="Times New Roman" w:hAnsi="Times New Roman" w:eastAsia="宋体"/>
                <w:b w:val="0"/>
                <w:i w:val="0"/>
                <w:sz w:val="17"/>
              </w:rPr>
              <w:t>1</w:t>
            </w:r>
          </w:p>
        </w:tc>
        <w:tc>
          <w:tcPr>
            <w:tcW w:type="dxa" w:w="624"/>
            <w:vAlign w:val="center"/>
            <w:tcMar>
              <w:top w:w="80" w:type="dxa"/>
              <w:start w:w="100" w:type="dxa"/>
              <w:bottom w:w="80" w:type="dxa"/>
              <w:end w:w="100" w:type="dxa"/>
            </w:tcMar>
          </w:tcPr>
          <w:p>
            <w:pPr>
              <w:spacing w:before="0" w:after="0" w:line="276" w:lineRule="auto"/>
              <w:jc w:val="center"/>
            </w:pPr>
            <w:r/>
            <w:r>
              <w:rPr>
                <w:rFonts w:ascii="Times New Roman" w:hAnsi="Times New Roman" w:eastAsia="宋体"/>
                <w:b w:val="0"/>
                <w:i w:val="0"/>
                <w:sz w:val="17"/>
              </w:rPr>
              <w:t>1.4419</w:t>
            </w:r>
          </w:p>
        </w:tc>
        <w:tc>
          <w:tcPr>
            <w:tcW w:type="dxa" w:w="709"/>
            <w:vAlign w:val="center"/>
            <w:tcMar>
              <w:top w:w="80" w:type="dxa"/>
              <w:start w:w="100" w:type="dxa"/>
              <w:bottom w:w="80" w:type="dxa"/>
              <w:end w:w="100" w:type="dxa"/>
            </w:tcMar>
          </w:tcPr>
          <w:p>
            <w:pPr>
              <w:spacing w:before="0" w:after="0" w:line="276" w:lineRule="auto"/>
              <w:jc w:val="center"/>
            </w:pPr>
            <w:r/>
            <w:r>
              <w:rPr>
                <w:rFonts w:ascii="Times New Roman" w:hAnsi="Times New Roman" w:eastAsia="宋体"/>
                <w:b w:val="0"/>
                <w:i w:val="0"/>
                <w:sz w:val="17"/>
              </w:rPr>
              <w:t>0.4327</w:t>
            </w:r>
          </w:p>
        </w:tc>
        <w:tc>
          <w:tcPr>
            <w:tcW w:type="dxa" w:w="709"/>
            <w:vAlign w:val="center"/>
            <w:tcMar>
              <w:top w:w="80" w:type="dxa"/>
              <w:start w:w="100" w:type="dxa"/>
              <w:bottom w:w="80" w:type="dxa"/>
              <w:end w:w="100" w:type="dxa"/>
            </w:tcMar>
          </w:tcPr>
          <w:p>
            <w:pPr>
              <w:spacing w:before="0" w:after="0" w:line="276" w:lineRule="auto"/>
              <w:jc w:val="center"/>
            </w:pPr>
            <w:r/>
            <w:r>
              <w:rPr>
                <w:rFonts w:ascii="Times New Roman" w:hAnsi="Times New Roman" w:eastAsia="宋体"/>
                <w:b w:val="0"/>
                <w:i w:val="0"/>
                <w:sz w:val="17"/>
              </w:rPr>
              <w:t>8.7561</w:t>
            </w:r>
          </w:p>
        </w:tc>
        <w:tc>
          <w:tcPr>
            <w:tcW w:type="dxa" w:w="624"/>
            <w:vAlign w:val="center"/>
            <w:tcMar>
              <w:top w:w="80" w:type="dxa"/>
              <w:start w:w="100" w:type="dxa"/>
              <w:bottom w:w="80" w:type="dxa"/>
              <w:end w:w="100" w:type="dxa"/>
            </w:tcMar>
          </w:tcPr>
          <w:p>
            <w:pPr>
              <w:spacing w:before="0" w:after="0" w:line="276" w:lineRule="auto"/>
              <w:jc w:val="center"/>
            </w:pPr>
            <w:r/>
            <w:r>
              <w:rPr>
                <w:rFonts w:ascii="Times New Roman" w:hAnsi="Times New Roman" w:eastAsia="宋体"/>
                <w:b w:val="0"/>
                <w:i w:val="0"/>
                <w:sz w:val="17"/>
              </w:rPr>
              <w:t>2.6674</w:t>
            </w:r>
          </w:p>
        </w:tc>
        <w:tc>
          <w:tcPr>
            <w:tcW w:type="dxa" w:w="907"/>
            <w:vAlign w:val="center"/>
            <w:tcMar>
              <w:top w:w="80" w:type="dxa"/>
              <w:start w:w="100" w:type="dxa"/>
              <w:bottom w:w="80" w:type="dxa"/>
              <w:end w:w="100" w:type="dxa"/>
            </w:tcMar>
          </w:tcPr>
          <w:p>
            <w:pPr>
              <w:spacing w:before="0" w:after="0" w:line="276" w:lineRule="auto"/>
              <w:jc w:val="center"/>
            </w:pPr>
            <w:r/>
            <w:r>
              <w:rPr>
                <w:rFonts w:ascii="Times New Roman" w:hAnsi="Times New Roman" w:eastAsia="宋体"/>
                <w:b w:val="0"/>
                <w:i w:val="0"/>
                <w:sz w:val="17"/>
              </w:rPr>
              <w:t>8/8 有效，0 拒绝</w:t>
            </w:r>
          </w:p>
        </w:tc>
        <w:tc>
          <w:tcPr>
            <w:tcW w:type="dxa" w:w="709"/>
            <w:vAlign w:val="center"/>
            <w:tcMar>
              <w:top w:w="80" w:type="dxa"/>
              <w:start w:w="100" w:type="dxa"/>
              <w:bottom w:w="80" w:type="dxa"/>
              <w:end w:w="100" w:type="dxa"/>
            </w:tcMar>
          </w:tcPr>
          <w:p>
            <w:pPr>
              <w:spacing w:before="0" w:after="0" w:line="276" w:lineRule="auto"/>
              <w:jc w:val="center"/>
            </w:pPr>
            <w:r/>
            <w:r>
              <w:rPr>
                <w:rFonts w:ascii="Times New Roman" w:hAnsi="Times New Roman" w:eastAsia="宋体"/>
                <w:b w:val="0"/>
                <w:i w:val="0"/>
                <w:sz w:val="17"/>
              </w:rPr>
              <w:t>903.78</w:t>
            </w:r>
          </w:p>
        </w:tc>
      </w:tr>
      <w:tr>
        <w:tc>
          <w:tcPr>
            <w:tcW w:type="dxa" w:w="935"/>
            <w:vAlign w:val="center"/>
            <w:tcMar>
              <w:top w:w="80" w:type="dxa"/>
              <w:start w:w="100" w:type="dxa"/>
              <w:bottom w:w="80" w:type="dxa"/>
              <w:end w:w="100" w:type="dxa"/>
            </w:tcMar>
          </w:tcPr>
          <w:p>
            <w:pPr>
              <w:spacing w:before="0" w:after="0" w:line="276" w:lineRule="auto"/>
              <w:jc w:val="center"/>
            </w:pPr>
            <w:r/>
            <w:r>
              <w:rPr>
                <w:rFonts w:ascii="Times New Roman" w:hAnsi="Times New Roman" w:eastAsia="宋体"/>
                <w:b w:val="0"/>
                <w:i w:val="0"/>
                <w:sz w:val="17"/>
              </w:rPr>
              <w:t>里程计+ORB+IMU+一致性融合</w:t>
            </w:r>
          </w:p>
        </w:tc>
        <w:tc>
          <w:tcPr>
            <w:tcW w:type="dxa" w:w="454"/>
            <w:vAlign w:val="center"/>
            <w:tcMar>
              <w:top w:w="80" w:type="dxa"/>
              <w:start w:w="100" w:type="dxa"/>
              <w:bottom w:w="80" w:type="dxa"/>
              <w:end w:w="100" w:type="dxa"/>
            </w:tcMar>
          </w:tcPr>
          <w:p>
            <w:pPr>
              <w:spacing w:before="0" w:after="0" w:line="276" w:lineRule="auto"/>
              <w:jc w:val="center"/>
            </w:pPr>
            <w:r/>
            <w:r>
              <w:rPr>
                <w:rFonts w:ascii="Times New Roman" w:hAnsi="Times New Roman" w:eastAsia="宋体"/>
                <w:b w:val="0"/>
                <w:i w:val="0"/>
                <w:sz w:val="17"/>
              </w:rPr>
              <w:t>2</w:t>
            </w:r>
          </w:p>
        </w:tc>
        <w:tc>
          <w:tcPr>
            <w:tcW w:type="dxa" w:w="624"/>
            <w:vAlign w:val="center"/>
            <w:tcMar>
              <w:top w:w="80" w:type="dxa"/>
              <w:start w:w="100" w:type="dxa"/>
              <w:bottom w:w="80" w:type="dxa"/>
              <w:end w:w="100" w:type="dxa"/>
            </w:tcMar>
          </w:tcPr>
          <w:p>
            <w:pPr>
              <w:spacing w:before="0" w:after="0" w:line="276" w:lineRule="auto"/>
              <w:jc w:val="center"/>
            </w:pPr>
            <w:r/>
            <w:r>
              <w:rPr>
                <w:rFonts w:ascii="Times New Roman" w:hAnsi="Times New Roman" w:eastAsia="宋体"/>
                <w:b w:val="0"/>
                <w:i w:val="0"/>
                <w:sz w:val="17"/>
              </w:rPr>
              <w:t>0.0429*</w:t>
            </w:r>
          </w:p>
        </w:tc>
        <w:tc>
          <w:tcPr>
            <w:tcW w:type="dxa" w:w="709"/>
            <w:vAlign w:val="center"/>
            <w:tcMar>
              <w:top w:w="80" w:type="dxa"/>
              <w:start w:w="100" w:type="dxa"/>
              <w:bottom w:w="80" w:type="dxa"/>
              <w:end w:w="100" w:type="dxa"/>
            </w:tcMar>
          </w:tcPr>
          <w:p>
            <w:pPr>
              <w:spacing w:before="0" w:after="0" w:line="276" w:lineRule="auto"/>
              <w:jc w:val="center"/>
            </w:pPr>
            <w:r/>
            <w:r>
              <w:rPr>
                <w:rFonts w:ascii="Times New Roman" w:hAnsi="Times New Roman" w:eastAsia="宋体"/>
                <w:b w:val="0"/>
                <w:i w:val="0"/>
                <w:sz w:val="17"/>
              </w:rPr>
              <w:t>0.0237*</w:t>
            </w:r>
          </w:p>
        </w:tc>
        <w:tc>
          <w:tcPr>
            <w:tcW w:type="dxa" w:w="709"/>
            <w:vAlign w:val="center"/>
            <w:tcMar>
              <w:top w:w="80" w:type="dxa"/>
              <w:start w:w="100" w:type="dxa"/>
              <w:bottom w:w="80" w:type="dxa"/>
              <w:end w:w="100" w:type="dxa"/>
            </w:tcMar>
          </w:tcPr>
          <w:p>
            <w:pPr>
              <w:spacing w:before="0" w:after="0" w:line="276" w:lineRule="auto"/>
              <w:jc w:val="center"/>
            </w:pPr>
            <w:r/>
            <w:r>
              <w:rPr>
                <w:rFonts w:ascii="Times New Roman" w:hAnsi="Times New Roman" w:eastAsia="宋体"/>
                <w:b w:val="0"/>
                <w:i w:val="0"/>
                <w:sz w:val="17"/>
              </w:rPr>
              <w:t>1.1851*</w:t>
            </w:r>
          </w:p>
        </w:tc>
        <w:tc>
          <w:tcPr>
            <w:tcW w:type="dxa" w:w="624"/>
            <w:vAlign w:val="center"/>
            <w:tcMar>
              <w:top w:w="80" w:type="dxa"/>
              <w:start w:w="100" w:type="dxa"/>
              <w:bottom w:w="80" w:type="dxa"/>
              <w:end w:w="100" w:type="dxa"/>
            </w:tcMar>
          </w:tcPr>
          <w:p>
            <w:pPr>
              <w:spacing w:before="0" w:after="0" w:line="276" w:lineRule="auto"/>
              <w:jc w:val="center"/>
            </w:pPr>
            <w:r/>
            <w:r>
              <w:rPr>
                <w:rFonts w:ascii="Times New Roman" w:hAnsi="Times New Roman" w:eastAsia="宋体"/>
                <w:b w:val="0"/>
                <w:i w:val="0"/>
                <w:sz w:val="17"/>
              </w:rPr>
              <w:t>0.0618*</w:t>
            </w:r>
          </w:p>
        </w:tc>
        <w:tc>
          <w:tcPr>
            <w:tcW w:type="dxa" w:w="907"/>
            <w:vAlign w:val="center"/>
            <w:tcMar>
              <w:top w:w="80" w:type="dxa"/>
              <w:start w:w="100" w:type="dxa"/>
              <w:bottom w:w="80" w:type="dxa"/>
              <w:end w:w="100" w:type="dxa"/>
            </w:tcMar>
          </w:tcPr>
          <w:p>
            <w:pPr>
              <w:spacing w:before="0" w:after="0" w:line="276" w:lineRule="auto"/>
              <w:jc w:val="center"/>
            </w:pPr>
            <w:r/>
            <w:r>
              <w:rPr>
                <w:rFonts w:ascii="Times New Roman" w:hAnsi="Times New Roman" w:eastAsia="宋体"/>
                <w:b w:val="0"/>
                <w:i w:val="0"/>
                <w:sz w:val="17"/>
              </w:rPr>
              <w:t>0/13 有效，13 拒绝</w:t>
            </w:r>
          </w:p>
        </w:tc>
        <w:tc>
          <w:tcPr>
            <w:tcW w:type="dxa" w:w="709"/>
            <w:vAlign w:val="center"/>
            <w:tcMar>
              <w:top w:w="80" w:type="dxa"/>
              <w:start w:w="100" w:type="dxa"/>
              <w:bottom w:w="80" w:type="dxa"/>
              <w:end w:w="100" w:type="dxa"/>
            </w:tcMar>
          </w:tcPr>
          <w:p>
            <w:pPr>
              <w:spacing w:before="0" w:after="0" w:line="276" w:lineRule="auto"/>
              <w:jc w:val="center"/>
            </w:pPr>
            <w:r/>
            <w:r>
              <w:rPr>
                <w:rFonts w:ascii="Times New Roman" w:hAnsi="Times New Roman" w:eastAsia="宋体"/>
                <w:b w:val="0"/>
                <w:i w:val="0"/>
                <w:sz w:val="17"/>
              </w:rPr>
              <w:t>1647.59*</w:t>
            </w:r>
          </w:p>
        </w:tc>
      </w:tr>
    </w:tbl>
    <w:p>
      <w:pPr>
        <w:spacing w:before="60" w:after="120" w:line="264" w:lineRule="auto"/>
        <w:jc w:val="center"/>
      </w:pPr>
      <w:r>
        <w:rPr>
          <w:rFonts w:ascii="Times New Roman" w:hAnsi="Times New Roman" w:eastAsia="宋体"/>
          <w:b w:val="0"/>
          <w:i w:val="0"/>
          <w:sz w:val="18"/>
        </w:rPr>
        <w:t>表2  第二阶段局部修正暂定预实验记录（*为 2 次运行的当前均值；不得作为组间结论）</w:t>
      </w:r>
    </w:p>
    <w:p>
      <w:pPr>
        <w:spacing w:before="0" w:after="100" w:line="324" w:lineRule="auto"/>
      </w:pPr>
      <w:r>
        <w:rPr>
          <w:rFonts w:ascii="Times New Roman" w:hAnsi="Times New Roman" w:eastAsia="宋体"/>
          <w:b w:val="0"/>
          <w:i w:val="0"/>
          <w:sz w:val="21"/>
        </w:rPr>
        <w:t>为使第二阶段具备可比较性，后续应至少完成以下补充：1）三组在相同起终点和轨迹上进行足够次数的独立重复；2）保存每次运行的配置快照、随机种子和轨迹日志；3）核验 ORB 候选评分阈值、修正增益及门限是否一致；4）分别报告有效修正、拒绝、超时和无候选的数量及分母；5）按统一对齐规则计算 ATE、RPE 与终点误差。</w:t>
      </w:r>
    </w:p>
    <w:p>
      <w:pPr>
        <w:keepNext/>
        <w:spacing w:before="180" w:after="80" w:line="300" w:lineRule="auto"/>
      </w:pPr>
      <w:r>
        <w:rPr>
          <w:rFonts w:ascii="Times New Roman" w:hAnsi="Times New Roman" w:eastAsia="黑体"/>
          <w:b/>
          <w:i w:val="0"/>
          <w:sz w:val="24"/>
        </w:rPr>
        <w:t>3  讨论</w:t>
      </w:r>
    </w:p>
    <w:p>
      <w:pPr>
        <w:spacing w:before="0" w:after="100" w:line="324" w:lineRule="auto"/>
      </w:pPr>
      <w:r>
        <w:rPr>
          <w:rFonts w:ascii="Times New Roman" w:hAnsi="Times New Roman" w:eastAsia="宋体"/>
          <w:b w:val="0"/>
          <w:i w:val="0"/>
          <w:sz w:val="21"/>
        </w:rPr>
        <w:t>第一阶段结果说明，在给定仿真地图和随机初始位姿条件下，所构建的扫描图像匹配流程能够为后续导航提供全局初始位姿。4 次 ORB_TIMEOUT 表明，单次扫描的图像特征仍可能受可见结构、重复区域或匹配搜索时间限制影响；因此，成功率、超时率与成功样本精度应同时呈现。</w:t>
      </w:r>
    </w:p>
    <w:p>
      <w:pPr>
        <w:spacing w:before="0" w:after="100" w:line="324" w:lineRule="auto"/>
      </w:pPr>
      <w:r>
        <w:rPr>
          <w:rFonts w:ascii="Times New Roman" w:hAnsi="Times New Roman" w:eastAsia="宋体"/>
          <w:b w:val="0"/>
          <w:i w:val="0"/>
          <w:sz w:val="21"/>
        </w:rPr>
        <w:t>第二阶段的当前数据仅反映一次或两次运行形成的测量记录。由于样本量、轨迹一致性和配置核验尚不充分，本文不对局部 ORB 修正或一致性融合是否降低 ATE/RPE、是否抑制漂移作任何结论。待补齐可重复实验后，可从误差、有效修正率、拒绝率和计算开销四个维度分析门限策略的影响。</w:t>
      </w:r>
    </w:p>
    <w:p>
      <w:pPr>
        <w:spacing w:before="0" w:after="100" w:line="324" w:lineRule="auto"/>
      </w:pPr>
      <w:r>
        <w:rPr>
          <w:rFonts w:ascii="Times New Roman" w:hAnsi="Times New Roman" w:eastAsia="宋体"/>
          <w:b w:val="0"/>
          <w:i w:val="0"/>
          <w:sz w:val="21"/>
        </w:rPr>
        <w:t>本方法的局限性包括：重复室内结构可能导致候选歧义；ORB 图像特征对扫描稀疏度和可见几何结构敏感；当前验证为 Gazebo 仿真，尚不能直接代表实机 LiDAR 噪声、时间同步误差和轮式滑移条件下的性能。</w:t>
      </w:r>
    </w:p>
    <w:p>
      <w:pPr>
        <w:keepNext/>
        <w:spacing w:before="180" w:after="80" w:line="300" w:lineRule="auto"/>
      </w:pPr>
      <w:r>
        <w:rPr>
          <w:rFonts w:ascii="Times New Roman" w:hAnsi="Times New Roman" w:eastAsia="黑体"/>
          <w:b/>
          <w:i w:val="0"/>
          <w:sz w:val="24"/>
        </w:rPr>
        <w:t>4  结论</w:t>
      </w:r>
    </w:p>
    <w:p>
      <w:pPr>
        <w:spacing w:before="0" w:after="100" w:line="324" w:lineRule="auto"/>
      </w:pPr>
      <w:r>
        <w:rPr>
          <w:rFonts w:ascii="Times New Roman" w:hAnsi="Times New Roman" w:eastAsia="宋体"/>
          <w:b w:val="0"/>
          <w:i w:val="0"/>
          <w:sz w:val="21"/>
        </w:rPr>
        <w:t>本文提出并实现了一种基于 ORB 扫描图像匹配的室内机器人 LiDAR 全局定位流程。方法通过栅格地图约束、模拟扫描、ORB 特征匹配和 RANSAC 几何验证输出 map 坐标系下的初始 (x, y, yaw)。在 ROS 2 Humble 与 Gazebo 的 100 次随机初始位姿试验中，最终导航定位系统获得 96% 的成功率；对 96 个成功样本，平均 XY 误差为 0.1012 m，RMSE 为 0.1032 m，P95 为 0.1347 m，平均航向误差为 0.71°。局部周期修正与一致性门限融合已经完成接口和暂定数据记录，但其性能收益仍需在统一、可重复的第二阶段实验后另行确认。</w:t>
      </w:r>
    </w:p>
    <w:p>
      <w:pPr>
        <w:keepNext/>
        <w:spacing w:before="180" w:after="80" w:line="300" w:lineRule="auto"/>
      </w:pPr>
      <w:r>
        <w:rPr>
          <w:rFonts w:ascii="Times New Roman" w:hAnsi="Times New Roman" w:eastAsia="黑体"/>
          <w:b/>
          <w:i w:val="0"/>
          <w:sz w:val="24"/>
        </w:rPr>
        <w:t>参考文献</w:t>
      </w:r>
    </w:p>
    <w:p>
      <w:pPr>
        <w:spacing w:before="0" w:after="40" w:line="276" w:lineRule="auto"/>
      </w:pPr>
      <w:r>
        <w:rPr>
          <w:rFonts w:ascii="Times New Roman" w:hAnsi="Times New Roman" w:eastAsia="宋体"/>
          <w:b w:val="0"/>
          <w:i w:val="0"/>
          <w:sz w:val="17"/>
        </w:rPr>
        <w:t>[1] THRUN S, BURGARD W, FOX D. Probabilistic Robotics[M]. Cambridge: MIT Press, 2005.</w:t>
      </w:r>
    </w:p>
    <w:p>
      <w:pPr>
        <w:spacing w:before="0" w:after="40" w:line="276" w:lineRule="auto"/>
      </w:pPr>
      <w:r>
        <w:rPr>
          <w:rFonts w:ascii="Times New Roman" w:hAnsi="Times New Roman" w:eastAsia="宋体"/>
          <w:b w:val="0"/>
          <w:i w:val="0"/>
          <w:sz w:val="17"/>
        </w:rPr>
        <w:t>[2] FOX D, BURGARD W, DELLAERT F, et al. Monte Carlo localization: Efficient position estimation for mobile robots[C]//Proceedings of AAAI. 1999: 343-349.</w:t>
      </w:r>
    </w:p>
    <w:p>
      <w:pPr>
        <w:spacing w:before="0" w:after="40" w:line="276" w:lineRule="auto"/>
      </w:pPr>
      <w:r>
        <w:rPr>
          <w:rFonts w:ascii="Times New Roman" w:hAnsi="Times New Roman" w:eastAsia="宋体"/>
          <w:b w:val="0"/>
          <w:i w:val="0"/>
          <w:sz w:val="17"/>
        </w:rPr>
        <w:t>[3] BESL P J, MCKAY N D. A method for registration of 3-D shapes[J]. IEEE Transactions on Pattern Analysis and Machine Intelligence, 1992, 14(2): 239-256.</w:t>
      </w:r>
    </w:p>
    <w:p>
      <w:pPr>
        <w:spacing w:before="0" w:after="40" w:line="276" w:lineRule="auto"/>
      </w:pPr>
      <w:r>
        <w:rPr>
          <w:rFonts w:ascii="Times New Roman" w:hAnsi="Times New Roman" w:eastAsia="宋体"/>
          <w:b w:val="0"/>
          <w:i w:val="0"/>
          <w:sz w:val="17"/>
        </w:rPr>
        <w:t>[4] BIBER P, STRASSER W. The normal distributions transform: A new approach to laser scan matching[C]//Proceedings of IROS. 2003: 2743-2748.</w:t>
      </w:r>
    </w:p>
    <w:p>
      <w:pPr>
        <w:spacing w:before="0" w:after="40" w:line="276" w:lineRule="auto"/>
      </w:pPr>
      <w:r>
        <w:rPr>
          <w:rFonts w:ascii="Times New Roman" w:hAnsi="Times New Roman" w:eastAsia="宋体"/>
          <w:b w:val="0"/>
          <w:i w:val="0"/>
          <w:sz w:val="17"/>
        </w:rPr>
        <w:t>[5] MAGNUSSON M, LILIENTHAL A J, DUCKETT T. Scan registration for autonomous mining vehicles using 3D-NDT[J]. Journal of Field Robotics, 2007, 24(10): 803-827.</w:t>
      </w:r>
    </w:p>
    <w:p>
      <w:pPr>
        <w:spacing w:before="0" w:after="40" w:line="276" w:lineRule="auto"/>
      </w:pPr>
      <w:r>
        <w:rPr>
          <w:rFonts w:ascii="Times New Roman" w:hAnsi="Times New Roman" w:eastAsia="宋体"/>
          <w:b w:val="0"/>
          <w:i w:val="0"/>
          <w:sz w:val="17"/>
        </w:rPr>
        <w:t>[6] RUBLEE E, RABAUD V, KONOLIGE K, et al. ORB: An efficient alternative to SIFT or SURF[C]//Proceedings of ICCV. 2011: 2564-2571.</w:t>
      </w:r>
    </w:p>
    <w:p>
      <w:pPr>
        <w:spacing w:before="0" w:after="40" w:line="276" w:lineRule="auto"/>
      </w:pPr>
      <w:r>
        <w:rPr>
          <w:rFonts w:ascii="Times New Roman" w:hAnsi="Times New Roman" w:eastAsia="宋体"/>
          <w:b w:val="0"/>
          <w:i w:val="0"/>
          <w:sz w:val="17"/>
        </w:rPr>
        <w:t>[7] FISCHLER M A, BOLLES R C. Random sample consensus: A paradigm for model fitting with applications to image analysis and automated cartography[J]. Communications of the ACM, 1981, 24(6): 381-395.</w:t>
      </w:r>
    </w:p>
    <w:p>
      <w:pPr>
        <w:spacing w:before="0" w:after="40" w:line="276" w:lineRule="auto"/>
      </w:pPr>
      <w:r>
        <w:rPr>
          <w:rFonts w:ascii="Times New Roman" w:hAnsi="Times New Roman" w:eastAsia="宋体"/>
          <w:b w:val="0"/>
          <w:i w:val="0"/>
          <w:sz w:val="17"/>
        </w:rPr>
        <w:t>[8] MUR-ARTAL R, TARDÓS J D. ORB-SLAM: A versatile and accurate monocular SLAM system[J]. IEEE Transactions on Robotics, 2017, 31(5): 1147-1163.</w:t>
      </w:r>
    </w:p>
    <w:p>
      <w:pPr>
        <w:spacing w:before="0" w:after="40" w:line="276" w:lineRule="auto"/>
      </w:pPr>
      <w:r>
        <w:rPr>
          <w:rFonts w:ascii="Times New Roman" w:hAnsi="Times New Roman" w:eastAsia="宋体"/>
          <w:b w:val="0"/>
          <w:i w:val="0"/>
          <w:sz w:val="17"/>
        </w:rPr>
        <w:t>[9] GRISSETTI G, STACHNISS C, BURGARD W. Improved techniques for grid mapping with Rao-Blackwellized particle filters[J]. IEEE Transactions on Robotics, 2007, 23(1): 34-46.</w:t>
      </w:r>
    </w:p>
    <w:p>
      <w:pPr>
        <w:spacing w:before="0" w:after="40" w:line="276" w:lineRule="auto"/>
      </w:pPr>
      <w:r>
        <w:rPr>
          <w:rFonts w:ascii="Times New Roman" w:hAnsi="Times New Roman" w:eastAsia="宋体"/>
          <w:b w:val="0"/>
          <w:i w:val="0"/>
          <w:sz w:val="17"/>
        </w:rPr>
        <w:t>[10] KONOLOIGE K, BOWMAN J, CHEN J, et al. Efficient sparse pose adjustment for 2D mapping[C]//Proceedings of IROS. 2010: 22-29.</w:t>
      </w:r>
    </w:p>
    <w:p>
      <w:pPr>
        <w:spacing w:before="80" w:after="80" w:line="276" w:lineRule="auto"/>
      </w:pPr>
      <w:r>
        <w:rPr>
          <w:rFonts w:ascii="Times New Roman" w:hAnsi="Times New Roman" w:eastAsia="宋体"/>
          <w:b w:val="0"/>
          <w:i/>
          <w:sz w:val="17"/>
        </w:rPr>
        <w:t>注：投稿前应按目标期刊格式补足并逐条核校近五年相关文献，特别是二维 LiDAR 全局定位、局部修正和粗到细定位方向文献；未经核校的网络资料不应列入参考文献。</w:t>
      </w:r>
    </w:p>
    <w:p>
      <w:pPr>
        <w:keepNext/>
        <w:spacing w:before="180" w:after="80" w:line="300" w:lineRule="auto"/>
      </w:pPr>
      <w:r>
        <w:rPr>
          <w:rFonts w:ascii="Times New Roman" w:hAnsi="Times New Roman" w:eastAsia="黑体"/>
          <w:b/>
          <w:i w:val="0"/>
          <w:sz w:val="24"/>
        </w:rPr>
        <w:t>作者简介（待填写）</w:t>
      </w:r>
    </w:p>
    <w:p>
      <w:pPr>
        <w:spacing w:before="0" w:after="40" w:line="276" w:lineRule="auto"/>
      </w:pPr>
      <w:r>
        <w:rPr>
          <w:rFonts w:ascii="Times New Roman" w:hAnsi="Times New Roman" w:eastAsia="宋体"/>
          <w:b w:val="0"/>
          <w:i w:val="0"/>
          <w:sz w:val="18"/>
        </w:rPr>
        <w:t>作者一（出生年—），性别，籍贯，学历/职称。研究方向：移动机器人定位与导航。</w:t>
      </w:r>
    </w:p>
    <w:sectPr>
      <w:footerReference w:type="default" r:id="rId15"/>
      <w:type w:val="continuous"/>
      <w:pgSz w:w="11906" w:h="16838"/>
      <w:pgMar w:top="1440" w:right="1797" w:bottom="1440" w:left="1797" w:header="851" w:footer="992" w:gutter="0"/>
      <w:cols w:space="425" w:num="2"/>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altName w:val="OpenSymbol"/>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00007A87" w:usb1="80000000" w:usb2="00000008" w:usb3="00000000" w:csb0="400001FF" w:csb1="FFFF0000"/>
  </w:font>
  <w:font w:name="Symbol">
    <w:altName w:val="Webdings"/>
    <w:panose1 w:val="05050102010706020507"/>
    <w:charset w:val="02"/>
    <w:family w:val="roman"/>
    <w:pitch w:val="default"/>
    <w:sig w:usb0="00000000" w:usb1="00000000" w:usb2="00000000" w:usb3="00000000" w:csb0="80000000" w:csb1="00000000"/>
  </w:font>
  <w:font w:name="Calibri">
    <w:altName w:val="微软雅黑"/>
    <w:panose1 w:val="020F0502020204030204"/>
    <w:charset w:val="00"/>
    <w:family w:val="swiss"/>
    <w:pitch w:val="default"/>
    <w:sig w:usb0="00000000" w:usb1="00000000" w:usb2="00000001" w:usb3="00000000" w:csb0="0000019F" w:csb1="00000000"/>
  </w:font>
  <w:font w:name="微软雅黑">
    <w:panose1 w:val="020B0503020204020204"/>
    <w:charset w:val="86"/>
    <w:family w:val="auto"/>
    <w:pitch w:val="default"/>
    <w:sig w:usb0="80000287" w:usb1="2ACF3C50" w:usb2="00000016" w:usb3="00000000" w:csb0="0004001F" w:csb1="00000000"/>
  </w:font>
  <w:font w:name="OpenSymbol">
    <w:panose1 w:val="05010000000000000000"/>
    <w:charset w:val="00"/>
    <w:family w:val="auto"/>
    <w:pitch w:val="default"/>
    <w:sig w:usb0="800000AF" w:usb1="1001ECEA" w:usb2="00000000" w:usb3="00000000" w:csb0="80000001" w:csb1="00000000"/>
  </w:font>
  <w:font w:name="华文行楷">
    <w:panose1 w:val="02010800040101010101"/>
    <w:charset w:val="86"/>
    <w:family w:val="auto"/>
    <w:pitch w:val="default"/>
    <w:sig w:usb0="00000001" w:usb1="080F0000" w:usb2="00000000" w:usb3="00000000" w:csb0="00040000"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Webdings">
    <w:panose1 w:val="05030102010509060703"/>
    <w:charset w:val="00"/>
    <w:family w:val="auto"/>
    <w:pitch w:val="default"/>
    <w:sig w:usb0="00000000" w:usb1="00000000" w:usb2="00000000" w:usb3="00000000" w:csb0="80000000"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b w:val="0"/>
        <w:i w:val="0"/>
        <w:sz w:val="17"/>
      </w:rPr>
      <w:t xml:space="preserve">— </w:t>
    </w:r>
    <w:fldSimple w:instr="PAGE"/>
    <w:r>
      <w:rPr>
        <w:rFonts w:ascii="Times New Roman" w:hAnsi="Times New Roman" w:eastAsia="宋体"/>
        <w:b w:val="0"/>
        <w:i w:val="0"/>
        <w:sz w:val="17"/>
      </w:rPr>
      <w:t xml:space="preserve"> —</w: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7EF30D"/>
    <w:multiLevelType w:val="singleLevel"/>
    <w:tmpl w:val="FF7EF30D"/>
    <w:lvl w:ilvl="0" w:tentative="0">
      <w:start w:val="1"/>
      <w:numFmt w:val="bullet"/>
      <w:pStyle w:val="3"/>
      <w:lvlText w:val=""/>
      <w:lvlJc w:val="left"/>
      <w:pPr>
        <w:tabs>
          <w:tab w:val="left" w:pos="360"/>
        </w:tabs>
        <w:ind w:left="360" w:hanging="36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bordersDoNotSurroundHeader w:val="0"/>
  <w:bordersDoNotSurroundFooter w:val="0"/>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50271"/>
    <w:rsid w:val="00011BCF"/>
    <w:rsid w:val="00013B7D"/>
    <w:rsid w:val="00031E44"/>
    <w:rsid w:val="00073E41"/>
    <w:rsid w:val="000750AA"/>
    <w:rsid w:val="00080A57"/>
    <w:rsid w:val="000813F1"/>
    <w:rsid w:val="00084F74"/>
    <w:rsid w:val="00087DD6"/>
    <w:rsid w:val="000923EC"/>
    <w:rsid w:val="00092793"/>
    <w:rsid w:val="00093961"/>
    <w:rsid w:val="00093FB4"/>
    <w:rsid w:val="00095E30"/>
    <w:rsid w:val="000A1A47"/>
    <w:rsid w:val="000D22C4"/>
    <w:rsid w:val="000D45E0"/>
    <w:rsid w:val="000D7329"/>
    <w:rsid w:val="000F7E7D"/>
    <w:rsid w:val="00100754"/>
    <w:rsid w:val="00107162"/>
    <w:rsid w:val="00114B0A"/>
    <w:rsid w:val="00114F72"/>
    <w:rsid w:val="00135F67"/>
    <w:rsid w:val="00145F90"/>
    <w:rsid w:val="00146285"/>
    <w:rsid w:val="00147526"/>
    <w:rsid w:val="0015209A"/>
    <w:rsid w:val="001811D5"/>
    <w:rsid w:val="001B1C27"/>
    <w:rsid w:val="001B3C58"/>
    <w:rsid w:val="001B4049"/>
    <w:rsid w:val="001B508A"/>
    <w:rsid w:val="001E107F"/>
    <w:rsid w:val="001F32F1"/>
    <w:rsid w:val="001F54F3"/>
    <w:rsid w:val="001F73B2"/>
    <w:rsid w:val="00207F11"/>
    <w:rsid w:val="002262BF"/>
    <w:rsid w:val="002359FA"/>
    <w:rsid w:val="00261207"/>
    <w:rsid w:val="00262433"/>
    <w:rsid w:val="002739BF"/>
    <w:rsid w:val="00273C4D"/>
    <w:rsid w:val="002829EF"/>
    <w:rsid w:val="00285A6D"/>
    <w:rsid w:val="002A3686"/>
    <w:rsid w:val="002A46D3"/>
    <w:rsid w:val="002B1D7E"/>
    <w:rsid w:val="002C5BBE"/>
    <w:rsid w:val="002C6B6D"/>
    <w:rsid w:val="002E259A"/>
    <w:rsid w:val="003016BE"/>
    <w:rsid w:val="003240EE"/>
    <w:rsid w:val="00325CEE"/>
    <w:rsid w:val="003507CE"/>
    <w:rsid w:val="003562C1"/>
    <w:rsid w:val="00372B70"/>
    <w:rsid w:val="0038725C"/>
    <w:rsid w:val="0039037E"/>
    <w:rsid w:val="00391A91"/>
    <w:rsid w:val="0039300F"/>
    <w:rsid w:val="003A5928"/>
    <w:rsid w:val="003B24D0"/>
    <w:rsid w:val="003B2CEE"/>
    <w:rsid w:val="003D17A5"/>
    <w:rsid w:val="003E0D16"/>
    <w:rsid w:val="00401A26"/>
    <w:rsid w:val="00404116"/>
    <w:rsid w:val="00404E54"/>
    <w:rsid w:val="00426B4A"/>
    <w:rsid w:val="00427EFA"/>
    <w:rsid w:val="00433B49"/>
    <w:rsid w:val="00435A94"/>
    <w:rsid w:val="004415BF"/>
    <w:rsid w:val="00442FE5"/>
    <w:rsid w:val="00443589"/>
    <w:rsid w:val="00450271"/>
    <w:rsid w:val="004620BB"/>
    <w:rsid w:val="00466258"/>
    <w:rsid w:val="004667BA"/>
    <w:rsid w:val="004B16BB"/>
    <w:rsid w:val="004C1F7B"/>
    <w:rsid w:val="004D45AC"/>
    <w:rsid w:val="004E3F98"/>
    <w:rsid w:val="004F1FAD"/>
    <w:rsid w:val="004F49A0"/>
    <w:rsid w:val="004F5FF8"/>
    <w:rsid w:val="00520A21"/>
    <w:rsid w:val="00542D65"/>
    <w:rsid w:val="00544C4D"/>
    <w:rsid w:val="005618F7"/>
    <w:rsid w:val="00576444"/>
    <w:rsid w:val="00584592"/>
    <w:rsid w:val="00585FD7"/>
    <w:rsid w:val="0059439B"/>
    <w:rsid w:val="005A589C"/>
    <w:rsid w:val="005A5A6F"/>
    <w:rsid w:val="005B1745"/>
    <w:rsid w:val="005B6909"/>
    <w:rsid w:val="005D0BB9"/>
    <w:rsid w:val="005E0D6E"/>
    <w:rsid w:val="005F0203"/>
    <w:rsid w:val="005F05A5"/>
    <w:rsid w:val="00640793"/>
    <w:rsid w:val="00694464"/>
    <w:rsid w:val="006A7C5C"/>
    <w:rsid w:val="006B32CC"/>
    <w:rsid w:val="006E1CFC"/>
    <w:rsid w:val="006E3467"/>
    <w:rsid w:val="006F5A72"/>
    <w:rsid w:val="00705ECF"/>
    <w:rsid w:val="00707209"/>
    <w:rsid w:val="00707ADA"/>
    <w:rsid w:val="00744C17"/>
    <w:rsid w:val="0074507D"/>
    <w:rsid w:val="007458D7"/>
    <w:rsid w:val="00746F98"/>
    <w:rsid w:val="00747F24"/>
    <w:rsid w:val="00763C68"/>
    <w:rsid w:val="00771AEE"/>
    <w:rsid w:val="00772AC5"/>
    <w:rsid w:val="00776130"/>
    <w:rsid w:val="00780A07"/>
    <w:rsid w:val="007B41CD"/>
    <w:rsid w:val="007C39AF"/>
    <w:rsid w:val="007D53C7"/>
    <w:rsid w:val="007E7764"/>
    <w:rsid w:val="0080785A"/>
    <w:rsid w:val="008515A6"/>
    <w:rsid w:val="00851D38"/>
    <w:rsid w:val="00875A96"/>
    <w:rsid w:val="00877AC2"/>
    <w:rsid w:val="00884274"/>
    <w:rsid w:val="0089566B"/>
    <w:rsid w:val="008A0E1D"/>
    <w:rsid w:val="008A24E2"/>
    <w:rsid w:val="008C7D9F"/>
    <w:rsid w:val="008D5A15"/>
    <w:rsid w:val="008F23CB"/>
    <w:rsid w:val="008F41A2"/>
    <w:rsid w:val="009121F7"/>
    <w:rsid w:val="00912C6D"/>
    <w:rsid w:val="009162B0"/>
    <w:rsid w:val="00921471"/>
    <w:rsid w:val="009258FA"/>
    <w:rsid w:val="00967C59"/>
    <w:rsid w:val="00971A79"/>
    <w:rsid w:val="009775FA"/>
    <w:rsid w:val="00987ED5"/>
    <w:rsid w:val="00992DF0"/>
    <w:rsid w:val="009A5DC5"/>
    <w:rsid w:val="009B1D65"/>
    <w:rsid w:val="009B47AD"/>
    <w:rsid w:val="009B4D49"/>
    <w:rsid w:val="009B62D0"/>
    <w:rsid w:val="009B76E2"/>
    <w:rsid w:val="009C6DAA"/>
    <w:rsid w:val="009F04DF"/>
    <w:rsid w:val="009F0655"/>
    <w:rsid w:val="00A046F4"/>
    <w:rsid w:val="00A21B2E"/>
    <w:rsid w:val="00A35142"/>
    <w:rsid w:val="00A47DC6"/>
    <w:rsid w:val="00A66640"/>
    <w:rsid w:val="00A9448D"/>
    <w:rsid w:val="00AA6392"/>
    <w:rsid w:val="00AB04DF"/>
    <w:rsid w:val="00AB1F9C"/>
    <w:rsid w:val="00AC34D6"/>
    <w:rsid w:val="00AC6F74"/>
    <w:rsid w:val="00AF2D80"/>
    <w:rsid w:val="00AF3807"/>
    <w:rsid w:val="00AF5284"/>
    <w:rsid w:val="00AF5F11"/>
    <w:rsid w:val="00B125B9"/>
    <w:rsid w:val="00B27F28"/>
    <w:rsid w:val="00B5412B"/>
    <w:rsid w:val="00B55B04"/>
    <w:rsid w:val="00B57B08"/>
    <w:rsid w:val="00BB5733"/>
    <w:rsid w:val="00BD18CA"/>
    <w:rsid w:val="00BD43F0"/>
    <w:rsid w:val="00BE5227"/>
    <w:rsid w:val="00C06C66"/>
    <w:rsid w:val="00C06F30"/>
    <w:rsid w:val="00C176B5"/>
    <w:rsid w:val="00C22089"/>
    <w:rsid w:val="00C34A71"/>
    <w:rsid w:val="00C37E56"/>
    <w:rsid w:val="00C5449F"/>
    <w:rsid w:val="00C54DFE"/>
    <w:rsid w:val="00C60A42"/>
    <w:rsid w:val="00C711BA"/>
    <w:rsid w:val="00C72DAE"/>
    <w:rsid w:val="00C94510"/>
    <w:rsid w:val="00C94835"/>
    <w:rsid w:val="00CA55A8"/>
    <w:rsid w:val="00CB64E5"/>
    <w:rsid w:val="00CB6D58"/>
    <w:rsid w:val="00CC3F78"/>
    <w:rsid w:val="00CD2F62"/>
    <w:rsid w:val="00CE144D"/>
    <w:rsid w:val="00CF257C"/>
    <w:rsid w:val="00D20F9B"/>
    <w:rsid w:val="00D21E25"/>
    <w:rsid w:val="00D245AC"/>
    <w:rsid w:val="00D3340E"/>
    <w:rsid w:val="00D372A2"/>
    <w:rsid w:val="00D45594"/>
    <w:rsid w:val="00D55452"/>
    <w:rsid w:val="00D57CD9"/>
    <w:rsid w:val="00D60789"/>
    <w:rsid w:val="00D67DF9"/>
    <w:rsid w:val="00DA3856"/>
    <w:rsid w:val="00DA3AA3"/>
    <w:rsid w:val="00DB0D6A"/>
    <w:rsid w:val="00DB403B"/>
    <w:rsid w:val="00DB4ABB"/>
    <w:rsid w:val="00DB5999"/>
    <w:rsid w:val="00DB7C19"/>
    <w:rsid w:val="00DD5DCB"/>
    <w:rsid w:val="00DD6A8D"/>
    <w:rsid w:val="00DE1F8F"/>
    <w:rsid w:val="00DE3229"/>
    <w:rsid w:val="00DE384E"/>
    <w:rsid w:val="00E0423B"/>
    <w:rsid w:val="00E06921"/>
    <w:rsid w:val="00E130D1"/>
    <w:rsid w:val="00E3160B"/>
    <w:rsid w:val="00E42133"/>
    <w:rsid w:val="00E47532"/>
    <w:rsid w:val="00E61285"/>
    <w:rsid w:val="00E80E2B"/>
    <w:rsid w:val="00E93850"/>
    <w:rsid w:val="00ED52BB"/>
    <w:rsid w:val="00ED5773"/>
    <w:rsid w:val="00EF2461"/>
    <w:rsid w:val="00F04201"/>
    <w:rsid w:val="00F216C4"/>
    <w:rsid w:val="00F4048B"/>
    <w:rsid w:val="00F42435"/>
    <w:rsid w:val="00F43018"/>
    <w:rsid w:val="00F472F1"/>
    <w:rsid w:val="00FA3227"/>
    <w:rsid w:val="00FA482F"/>
    <w:rsid w:val="00FB2DE0"/>
    <w:rsid w:val="00FB7C26"/>
    <w:rsid w:val="00FD491E"/>
    <w:rsid w:val="00FD632C"/>
    <w:rsid w:val="00FF035F"/>
    <w:rsid w:val="00FF0E2D"/>
    <w:rsid w:val="19FBB7E7"/>
    <w:rsid w:val="1FFF9352"/>
    <w:rsid w:val="33D5BF39"/>
    <w:rsid w:val="3B7B9B63"/>
    <w:rsid w:val="3FA69A27"/>
    <w:rsid w:val="43EDDF6F"/>
    <w:rsid w:val="4ED3BE8B"/>
    <w:rsid w:val="54F68C12"/>
    <w:rsid w:val="677F8F27"/>
    <w:rsid w:val="7CE61D8B"/>
    <w:rsid w:val="7DDD4C3D"/>
    <w:rsid w:val="7DFFB70C"/>
    <w:rsid w:val="7FEED608"/>
    <w:rsid w:val="7FFF972D"/>
    <w:rsid w:val="95FD0175"/>
    <w:rsid w:val="961F3963"/>
    <w:rsid w:val="B2DF229A"/>
    <w:rsid w:val="BD0A208B"/>
    <w:rsid w:val="DB76686C"/>
    <w:rsid w:val="F79FA029"/>
    <w:rsid w:val="FAB7A290"/>
    <w:rsid w:val="FAE98BA4"/>
    <w:rsid w:val="FBEE788B"/>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name="header"/>
    <w:lsdException w:qFormat="1" w:uiPriority="0" w:semiHidden="0" w:name="footer"/>
    <w:lsdException w:uiPriority="99" w:name="index heading"/>
    <w:lsdException w:qFormat="1" w:unhideWhenUsed="0" w:uiPriority="0"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qFormat="1"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15"/>
      <w:szCs w:val="22"/>
      <w:lang w:val="en-US" w:eastAsia="zh-CN" w:bidi="ar-SA"/>
    </w:rPr>
  </w:style>
  <w:style w:type="character" w:default="1" w:styleId="9">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2">
    <w:name w:val="caption"/>
    <w:basedOn w:val="1"/>
    <w:next w:val="1"/>
    <w:qFormat/>
    <w:uiPriority w:val="0"/>
    <w:rPr>
      <w:rFonts w:ascii="Arial" w:hAnsi="Arial" w:eastAsia="黑体"/>
      <w:sz w:val="20"/>
      <w:szCs w:val="20"/>
    </w:rPr>
  </w:style>
  <w:style w:type="paragraph" w:styleId="3">
    <w:name w:val="List Bullet"/>
    <w:basedOn w:val="1"/>
    <w:semiHidden/>
    <w:unhideWhenUsed/>
    <w:qFormat/>
    <w:uiPriority w:val="99"/>
    <w:pPr>
      <w:numPr>
        <w:ilvl w:val="0"/>
        <w:numId w:val="1"/>
      </w:numPr>
    </w:pPr>
  </w:style>
  <w:style w:type="paragraph" w:styleId="4">
    <w:name w:val="Balloon Text"/>
    <w:basedOn w:val="1"/>
    <w:link w:val="12"/>
    <w:semiHidden/>
    <w:unhideWhenUsed/>
    <w:qFormat/>
    <w:uiPriority w:val="99"/>
    <w:rPr>
      <w:sz w:val="18"/>
      <w:szCs w:val="18"/>
    </w:rPr>
  </w:style>
  <w:style w:type="paragraph" w:styleId="5">
    <w:name w:val="footer"/>
    <w:basedOn w:val="1"/>
    <w:link w:val="14"/>
    <w:unhideWhenUsed/>
    <w:qFormat/>
    <w:uiPriority w:val="0"/>
    <w:pPr>
      <w:tabs>
        <w:tab w:val="center" w:pos="4153"/>
        <w:tab w:val="right" w:pos="8306"/>
      </w:tabs>
      <w:snapToGrid w:val="0"/>
      <w:jc w:val="left"/>
    </w:pPr>
    <w:rPr>
      <w:sz w:val="18"/>
      <w:szCs w:val="18"/>
    </w:rPr>
  </w:style>
  <w:style w:type="paragraph" w:styleId="6">
    <w:name w:val="header"/>
    <w:basedOn w:val="1"/>
    <w:link w:val="13"/>
    <w:semiHidden/>
    <w:unhideWhenUsed/>
    <w:qFormat/>
    <w:uiPriority w:val="99"/>
    <w:pPr>
      <w:pBdr>
        <w:bottom w:val="single" w:color="auto" w:sz="6" w:space="1"/>
      </w:pBdr>
      <w:tabs>
        <w:tab w:val="center" w:pos="4153"/>
        <w:tab w:val="right" w:pos="8306"/>
      </w:tabs>
      <w:snapToGrid w:val="0"/>
      <w:jc w:val="center"/>
    </w:pPr>
    <w:rPr>
      <w:sz w:val="18"/>
      <w:szCs w:val="18"/>
    </w:rPr>
  </w:style>
  <w:style w:type="table" w:styleId="8">
    <w:name w:val="Table Grid"/>
    <w:basedOn w:val="7"/>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0">
    <w:name w:val="Hyperlink"/>
    <w:basedOn w:val="9"/>
    <w:semiHidden/>
    <w:unhideWhenUsed/>
    <w:qFormat/>
    <w:uiPriority w:val="99"/>
    <w:rPr>
      <w:color w:val="002B82"/>
      <w:u w:val="none"/>
    </w:rPr>
  </w:style>
  <w:style w:type="character" w:customStyle="1" w:styleId="11">
    <w:name w:val="high-light-bg4"/>
    <w:basedOn w:val="9"/>
    <w:qFormat/>
    <w:uiPriority w:val="0"/>
  </w:style>
  <w:style w:type="character" w:customStyle="1" w:styleId="12">
    <w:name w:val="批注框文本 Char"/>
    <w:basedOn w:val="9"/>
    <w:link w:val="4"/>
    <w:semiHidden/>
    <w:qFormat/>
    <w:uiPriority w:val="99"/>
    <w:rPr>
      <w:sz w:val="18"/>
      <w:szCs w:val="18"/>
    </w:rPr>
  </w:style>
  <w:style w:type="character" w:customStyle="1" w:styleId="13">
    <w:name w:val="页眉 Char"/>
    <w:basedOn w:val="9"/>
    <w:link w:val="6"/>
    <w:semiHidden/>
    <w:qFormat/>
    <w:uiPriority w:val="99"/>
    <w:rPr>
      <w:sz w:val="18"/>
      <w:szCs w:val="18"/>
    </w:rPr>
  </w:style>
  <w:style w:type="character" w:customStyle="1" w:styleId="14">
    <w:name w:val="页脚 Char"/>
    <w:basedOn w:val="9"/>
    <w:link w:val="5"/>
    <w:semiHidden/>
    <w:qFormat/>
    <w:uiPriority w:val="99"/>
    <w:rPr>
      <w:sz w:val="18"/>
      <w:szCs w:val="18"/>
    </w:rPr>
  </w:style>
  <w:style w:type="character" w:customStyle="1" w:styleId="15">
    <w:name w:val="style11"/>
    <w:basedOn w:val="9"/>
    <w:qFormat/>
    <w:uiPriority w:val="0"/>
    <w:rPr>
      <w:b/>
      <w:bCs/>
      <w:color w:val="FF0000"/>
    </w:rPr>
  </w:style>
  <w:style w:type="table" w:customStyle="1" w:styleId="16">
    <w:name w:val="Plain Table 2"/>
    <w:basedOn w:val="7"/>
    <w:qFormat/>
    <w:uiPriority w:val="42"/>
    <w:rPr>
      <w:rFonts w:asciiTheme="minorHAnsi" w:hAnsiTheme="minorHAnsi" w:eastAsiaTheme="minorEastAsia" w:cstheme="minorBidi"/>
      <w:kern w:val="2"/>
      <w:sz w:val="21"/>
      <w:szCs w:val="22"/>
    </w:rPr>
    <w:tblPr>
      <w:tblBorders>
        <w:top w:val="single" w:color="7E7E7E" w:themeColor="text1" w:themeTint="80" w:sz="4" w:space="0"/>
        <w:bottom w:val="single" w:color="7E7E7E" w:themeColor="text1" w:themeTint="80" w:sz="4" w:space="0"/>
      </w:tblBorders>
      <w:tblCellMar>
        <w:top w:w="0" w:type="dxa"/>
        <w:left w:w="108" w:type="dxa"/>
        <w:bottom w:w="0" w:type="dxa"/>
        <w:right w:w="108" w:type="dxa"/>
      </w:tblCellMar>
    </w:tblPr>
    <w:tblStylePr w:type="firstRow">
      <w:rPr>
        <w:b/>
        <w:bCs/>
      </w:rPr>
      <w:tcPr>
        <w:tcBorders>
          <w:bottom w:val="single" w:color="7E7E7E" w:themeColor="text1" w:themeTint="80" w:sz="4" w:space="0"/>
        </w:tcBorders>
      </w:tcPr>
    </w:tblStylePr>
    <w:tblStylePr w:type="lastRow">
      <w:rPr>
        <w:b/>
        <w:bCs/>
      </w:rPr>
      <w:tcPr>
        <w:tcBorders>
          <w:top w:val="single" w:color="7E7E7E" w:themeColor="text1" w:themeTint="80" w:sz="4" w:space="0"/>
        </w:tcBorders>
      </w:tcPr>
    </w:tblStylePr>
    <w:tblStylePr w:type="firstCol">
      <w:rPr>
        <w:b/>
        <w:bCs/>
      </w:rPr>
    </w:tblStylePr>
    <w:tblStylePr w:type="lastCol">
      <w:rPr>
        <w:b/>
        <w:bCs/>
      </w:rPr>
    </w:tblStylePr>
    <w:tblStylePr w:type="band1Vert">
      <w:tcPr>
        <w:tcBorders>
          <w:left w:val="single" w:color="7E7E7E" w:themeColor="text1" w:themeTint="80" w:sz="4" w:space="0"/>
          <w:right w:val="single" w:color="7E7E7E" w:themeColor="text1" w:themeTint="80" w:sz="4" w:space="0"/>
        </w:tcBorders>
      </w:tcPr>
    </w:tblStylePr>
    <w:tblStylePr w:type="band2Vert">
      <w:tcPr>
        <w:tcBorders>
          <w:left w:val="single" w:color="7E7E7E" w:themeColor="text1" w:themeTint="80" w:sz="4" w:space="0"/>
          <w:right w:val="single" w:color="7E7E7E" w:themeColor="text1" w:themeTint="80" w:sz="4" w:space="0"/>
        </w:tcBorders>
      </w:tcPr>
    </w:tblStylePr>
    <w:tblStylePr w:type="band1Horz">
      <w:tcPr>
        <w:tcBorders>
          <w:top w:val="single" w:color="7E7E7E" w:themeColor="text1" w:themeTint="80" w:sz="4" w:space="0"/>
          <w:bottom w:val="single" w:color="7E7E7E" w:themeColor="text1" w:themeTint="80" w:sz="4" w:space="0"/>
        </w:tcBorders>
      </w:tcPr>
    </w:tblStylePr>
  </w:style>
</w:styles>
</file>

<file path=word/_rels/document.xml.rels><?xml version='1.0' encoding='UTF-8' standalone='yes'?>
<Relationships xmlns="http://schemas.openxmlformats.org/package/2006/relationships"><Relationship Id="rId9" Type="http://schemas.openxmlformats.org/officeDocument/2006/relationships/image" Target="media/image4.wmf"/><Relationship Id="rId8" Type="http://schemas.openxmlformats.org/officeDocument/2006/relationships/image" Target="media/image3.wmf"/><Relationship Id="rId7" Type="http://schemas.openxmlformats.org/officeDocument/2006/relationships/image" Target="media/image2.wmf"/><Relationship Id="rId6" Type="http://schemas.openxmlformats.org/officeDocument/2006/relationships/oleObject" Target="embeddings/oleObject2.bin"/><Relationship Id="rId5" Type="http://schemas.openxmlformats.org/officeDocument/2006/relationships/image" Target="media/image1.wmf"/><Relationship Id="rId4" Type="http://schemas.openxmlformats.org/officeDocument/2006/relationships/oleObject" Target="embeddings/oleObject1.bin"/><Relationship Id="rId3" Type="http://schemas.openxmlformats.org/officeDocument/2006/relationships/theme" Target="theme/theme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2.xml"/><Relationship Id="rId12" Type="http://schemas.openxmlformats.org/officeDocument/2006/relationships/numbering" Target="numbering.xml"/><Relationship Id="rId11" Type="http://schemas.openxmlformats.org/officeDocument/2006/relationships/customXml" Target="../customXml/item1.xml"/><Relationship Id="rId10" Type="http://schemas.openxmlformats.org/officeDocument/2006/relationships/image" Target="media/image5.wmf"/><Relationship Id="rId1" Type="http://schemas.openxmlformats.org/officeDocument/2006/relationships/styles" Target="styles.xml"/><Relationship Id="rId15"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tyleName="APA" SelectedStyle="\APA.XSL"/>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EAC39D8-AD81-43E7-8A9D-5EE175FF40F2}">
  <ds:schemaRefs/>
</ds:datastoreItem>
</file>

<file path=docProps/app.xml><?xml version="1.0" encoding="utf-8"?>
<Properties xmlns="http://schemas.openxmlformats.org/officeDocument/2006/extended-properties" xmlns:vt="http://schemas.openxmlformats.org/officeDocument/2006/docPropsVTypes">
  <Template>Normal.dotm</Template>
  <Pages>3</Pages>
  <Words>928</Words>
  <Characters>5296</Characters>
  <Lines>44</Lines>
  <Paragraphs>12</Paragraphs>
  <TotalTime>83</TotalTime>
  <ScaleCrop>false</ScaleCrop>
  <LinksUpToDate>false</LinksUpToDate>
  <CharactersWithSpaces>6212</CharactersWithSpaces>
  <Application>WPS Office_12.1.2.25838_F1E327BC-269C-435d-A152-05C5408002CA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2019-02-19T18:28:00Z</dcterms:created>
  <dc:creator>admin</dc:creator>
  <cp:lastModifiedBy>许诺</cp:lastModifiedBy>
  <cp:lastPrinted>2016-10-26T23:41:00Z</cp:lastPrinted>
  <dcterms:modified xsi:type="dcterms:W3CDTF">2026-07-23T18:07:48Z</dcterms:modified>
  <cp:revision>11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2052-12.1.2.25838</vt:lpwstr>
  </property>
  <property fmtid="{D5CDD505-2E9C-101B-9397-08002B2CF9AE}" pid="3" name="ICV">
    <vt:lpwstr>6287CA7067AB24D53085616A3234F8E0_42</vt:lpwstr>
  </property>
</Properties>
</file>