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color w:val="1F3864"/>
          <w:sz w:val="48"/>
        </w:rPr>
        <w:t>CREDIT APPRAISAL MEMORANDUM</w:t>
      </w:r>
    </w:p>
    <w:p>
      <w:pPr>
        <w:spacing w:after="360"/>
      </w:pPr>
      <w:r>
        <w:rPr>
          <w:b w:val="0"/>
          <w:i w:val="0"/>
          <w:color w:val="595959"/>
          <w:sz w:val="24"/>
        </w:rPr>
        <w:t>Credit intelligence, financial analysis and forensic review</w:t>
      </w:r>
    </w:p>
    <w:p>
      <w:pPr>
        <w:spacing w:after="80"/>
      </w:pPr>
      <w:r>
        <w:rPr>
          <w:b/>
          <w:i w:val="0"/>
          <w:sz w:val="36"/>
        </w:rPr>
        <w:t>Deccan Polyfab Industries Ltd (fictional sample)</w:t>
      </w:r>
    </w:p>
    <w:p>
      <w:pPr>
        <w:spacing w:after="280"/>
      </w:pPr>
      <w:r>
        <w:rPr>
          <w:b w:val="0"/>
          <w:i w:val="0"/>
          <w:color w:val="595959"/>
          <w:sz w:val="20"/>
        </w:rPr>
        <w:t>Standalone financial statements  |  Period reviewed: FY2024 to FY2025  |  Amounts in ₹ crore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803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Particulars</w:t>
            </w:r>
          </w:p>
        </w:tc>
        <w:tc>
          <w:tcPr>
            <w:tcW w:type="dxa" w:w="6803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Borrower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Deccan Polyfab Industries Ltd (fictional sample)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CIN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L25209MH2004PLC123456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Proposal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Not specified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Internal rating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CI-5 - Elevated risk  (score 44/100)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Recommendation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Refer / further diligence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Red flags</w:t>
            </w:r>
          </w:p>
        </w:tc>
        <w:tc>
          <w:tcPr>
            <w:tcW w:type="dxa" w:w="6803"/>
          </w:tcPr>
          <w:p>
            <w:pPr>
              <w:jc w:val="right"/>
            </w:pPr>
            <w:r/>
            <w:r>
              <w:rPr>
                <w:sz w:val="20"/>
              </w:rPr>
              <w:t>5 high, 7 medium, 0 low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Prepared by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Sample Officer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6803"/>
          </w:tcPr>
          <w:p>
            <w:pPr>
              <w:jc w:val="right"/>
            </w:pPr>
            <w:r/>
            <w:r>
              <w:rPr>
                <w:sz w:val="20"/>
              </w:rPr>
              <w:t>18 October 2026</w:t>
            </w:r>
          </w:p>
        </w:tc>
      </w:tr>
    </w:tbl>
    <w:p>
      <w:pPr>
        <w:spacing w:after="200"/>
      </w:pPr>
      <w:r>
        <w:rPr>
          <w:b w:val="0"/>
          <w:i w:val="0"/>
          <w:sz w:val="21"/>
        </w:rPr>
      </w:r>
    </w:p>
    <w:p>
      <w:pPr>
        <w:spacing w:after="160"/>
      </w:pPr>
      <w:r>
        <w:rPr>
          <w:b w:val="0"/>
          <w:i/>
          <w:color w:val="595959"/>
          <w:sz w:val="17"/>
        </w:rPr>
        <w:t>This memorandum is generated from the documents listed in Annexure C. Figures are extracted automatically and validated through tie-out checks (Section 2); the credit officer must verify material figures against the audited financial statements before sanction.</w:t>
      </w:r>
    </w:p>
    <w:p>
      <w:r>
        <w:br w:type="page"/>
      </w:r>
    </w:p>
    <w:p>
      <w:pPr>
        <w:spacing w:after="120"/>
      </w:pPr>
      <w:r>
        <w:rPr>
          <w:b/>
          <w:i w:val="0"/>
          <w:color w:val="1F3864"/>
          <w:sz w:val="30"/>
        </w:rPr>
        <w:t>Contents</w:t>
      </w:r>
    </w:p>
    <w:p>
      <w:r>
        <w:fldChar w:fldCharType="begin"/>
        <w:instrText xml:space="preserve">TOC \o "1-2" \h \z \u</w:instrText>
        <w:fldChar w:fldCharType="separate"/>
        <w:t>Right-click and choose 'Update field'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  <w:jc w:val="both"/>
      </w:pPr>
      <w:r>
        <w:rPr>
          <w:b w:val="0"/>
          <w:i w:val="0"/>
          <w:sz w:val="21"/>
        </w:rPr>
        <w:t>The internal score of 44/100 places the borrower in grade CI-5 - Elevated risk. The financial-strength component scores 54.2 out of 70, based on leverage, coverage, liquidity, profitability, cash conversion and distress indicators measured against bank benchmarks. The red-flag component deducts 40 points for 5 high-severity and 7 medium-severity observations from the forensic, audit and market reviews. Recommendation: Refer / further diligence.</w:t>
      </w:r>
    </w:p>
    <w:p>
      <w:pPr>
        <w:spacing w:after="40"/>
      </w:pPr>
      <w:r>
        <w:rPr>
          <w:b/>
          <w:i w:val="0"/>
          <w:sz w:val="21"/>
        </w:rPr>
        <w:t>Proposal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val="clear" w:color="auto" w:fill="EEF2F8"/>
          </w:tcPr>
          <w:p>
            <w:r/>
            <w:r>
              <w:rPr>
                <w:b/>
                <w:sz w:val="19"/>
              </w:rPr>
              <w:t>Facilities proposed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Term loan ₹40.00 Cr (5 yrs incl. 6 m moratorium, 9.75%); Cash credit ₹60.00 Cr (9.50%); Non-fund based (BG/LC) ₹10.00 Cr</w:t>
            </w:r>
          </w:p>
        </w:tc>
      </w:tr>
      <w:tr>
        <w:tc>
          <w:tcPr>
            <w:tcW w:type="dxa" w:w="3685"/>
            <w:shd w:val="clear" w:color="auto" w:fill="EEF2F8"/>
          </w:tcPr>
          <w:p>
            <w:r/>
            <w:r>
              <w:rPr>
                <w:b/>
                <w:sz w:val="19"/>
              </w:rPr>
              <w:t>Purpose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Capacity expansion (sample)</w:t>
            </w:r>
          </w:p>
        </w:tc>
      </w:tr>
      <w:tr>
        <w:tc>
          <w:tcPr>
            <w:tcW w:type="dxa" w:w="3685"/>
            <w:shd w:val="clear" w:color="auto" w:fill="EEF2F8"/>
          </w:tcPr>
          <w:p>
            <w:r/>
            <w:r>
              <w:rPr>
                <w:b/>
                <w:sz w:val="19"/>
              </w:rPr>
              <w:t>Projected DSCR (average / minimum)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2.21x / 1.45x in Y+1</w:t>
            </w:r>
          </w:p>
        </w:tc>
      </w:tr>
      <w:tr>
        <w:tc>
          <w:tcPr>
            <w:tcW w:type="dxa" w:w="3685"/>
            <w:shd w:val="clear" w:color="auto" w:fill="EEF2F8"/>
          </w:tcPr>
          <w:p>
            <w:r/>
            <w:r>
              <w:rPr>
                <w:b/>
                <w:sz w:val="19"/>
              </w:rPr>
              <w:t>Security cover (total / collateral only)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1.37x / 0.73x</w:t>
            </w:r>
          </w:p>
        </w:tc>
      </w:tr>
      <w:tr>
        <w:tc>
          <w:tcPr>
            <w:tcW w:type="dxa" w:w="3685"/>
            <w:shd w:val="clear" w:color="auto" w:fill="EEF2F8"/>
          </w:tcPr>
          <w:p>
            <w:r/>
            <w:r>
              <w:rPr>
                <w:b/>
                <w:sz w:val="19"/>
              </w:rPr>
              <w:t>Risk-based minimum price vs proposed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9.00% vs 9.50%  (RAROC 21.7%)</w:t>
            </w:r>
          </w:p>
        </w:tc>
      </w:tr>
      <w:tr>
        <w:tc>
          <w:tcPr>
            <w:tcW w:type="dxa" w:w="3685"/>
            <w:shd w:val="clear" w:color="auto" w:fill="EEF2F8"/>
          </w:tcPr>
          <w:p>
            <w:r/>
            <w:r>
              <w:rPr>
                <w:b/>
                <w:sz w:val="19"/>
              </w:rPr>
              <w:t>RBI early-warning signals triggered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6 of 19 tested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</w:r>
    </w:p>
    <w:p>
      <w:pPr>
        <w:pStyle w:val="Heading2"/>
      </w:pPr>
      <w:r>
        <w:t>1.1 Key credit metrics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1474"/>
        <w:gridCol w:w="1474"/>
        <w:gridCol w:w="1587"/>
        <w:gridCol w:w="1984"/>
      </w:tblGrid>
      <w:tr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FY2024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FY2025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Benchmark</w:t>
            </w:r>
          </w:p>
        </w:tc>
        <w:tc>
          <w:tcPr>
            <w:tcW w:type="dxa" w:w="198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Revenue Growth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8.0%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≥ 10.0%</w:t>
            </w:r>
          </w:p>
        </w:tc>
        <w:tc>
          <w:tcPr>
            <w:tcW w:type="dxa" w:w="1984"/>
            <w:shd w:val="clear" w:color="auto" w:fill="FFEB9C"/>
          </w:tcPr>
          <w:p>
            <w:r/>
            <w:r>
              <w:rPr>
                <w:sz w:val="18"/>
              </w:rPr>
              <w:t>Watch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EBITDA Margin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16.6%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17.0%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≥ 12.0%</w:t>
            </w:r>
          </w:p>
        </w:tc>
        <w:tc>
          <w:tcPr>
            <w:tcW w:type="dxa" w:w="1984"/>
            <w:shd w:val="clear" w:color="auto" w:fill="C6EFCE"/>
          </w:tcPr>
          <w:p>
            <w:r/>
            <w:r>
              <w:rPr>
                <w:sz w:val="18"/>
              </w:rPr>
              <w:t>Satisfactory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Current Ratio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1.24x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1.18x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≥ 1.33x</w:t>
            </w:r>
          </w:p>
        </w:tc>
        <w:tc>
          <w:tcPr>
            <w:tcW w:type="dxa" w:w="1984"/>
            <w:shd w:val="clear" w:color="auto" w:fill="FFEB9C"/>
          </w:tcPr>
          <w:p>
            <w:r/>
            <w:r>
              <w:rPr>
                <w:sz w:val="18"/>
              </w:rPr>
              <w:t>Watch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TOL / TNW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1.70x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2.17x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≤ 3.00x</w:t>
            </w:r>
          </w:p>
        </w:tc>
        <w:tc>
          <w:tcPr>
            <w:tcW w:type="dxa" w:w="1984"/>
            <w:shd w:val="clear" w:color="auto" w:fill="C6EFCE"/>
          </w:tcPr>
          <w:p>
            <w:r/>
            <w:r>
              <w:rPr>
                <w:sz w:val="18"/>
              </w:rPr>
              <w:t>Satisfactory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Debt / Equity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1.03x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1.47x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≤ 1.00x</w:t>
            </w:r>
          </w:p>
        </w:tc>
        <w:tc>
          <w:tcPr>
            <w:tcW w:type="dxa" w:w="1984"/>
            <w:shd w:val="clear" w:color="auto" w:fill="FFEB9C"/>
          </w:tcPr>
          <w:p>
            <w:r/>
            <w:r>
              <w:rPr>
                <w:sz w:val="18"/>
              </w:rPr>
              <w:t>Watch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Total Debt / EBITDA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2.13x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3.00x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≤ 3.00x</w:t>
            </w:r>
          </w:p>
        </w:tc>
        <w:tc>
          <w:tcPr>
            <w:tcW w:type="dxa" w:w="1984"/>
            <w:shd w:val="clear" w:color="auto" w:fill="C6EFCE"/>
          </w:tcPr>
          <w:p>
            <w:r/>
            <w:r>
              <w:rPr>
                <w:sz w:val="18"/>
              </w:rPr>
              <w:t>Satisfactory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Interest Coverage (EBIT / Finance cost)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4.07x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3.39x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≥ 3.00x</w:t>
            </w:r>
          </w:p>
        </w:tc>
        <w:tc>
          <w:tcPr>
            <w:tcW w:type="dxa" w:w="1984"/>
            <w:shd w:val="clear" w:color="auto" w:fill="C6EFCE"/>
          </w:tcPr>
          <w:p>
            <w:r/>
            <w:r>
              <w:rPr>
                <w:sz w:val="18"/>
              </w:rPr>
              <w:t>Satisfactory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Debtor Days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58 d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78 d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≤ 60 d</w:t>
            </w:r>
          </w:p>
        </w:tc>
        <w:tc>
          <w:tcPr>
            <w:tcW w:type="dxa" w:w="1984"/>
            <w:shd w:val="clear" w:color="auto" w:fill="FFEB9C"/>
          </w:tcPr>
          <w:p>
            <w:r/>
            <w:r>
              <w:rPr>
                <w:sz w:val="18"/>
              </w:rPr>
              <w:t>Watch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CFO / EBITDA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0.58x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0.15x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≥ 0.70x</w:t>
            </w:r>
          </w:p>
        </w:tc>
        <w:tc>
          <w:tcPr>
            <w:tcW w:type="dxa" w:w="1984"/>
            <w:shd w:val="clear" w:color="auto" w:fill="FFC7CE"/>
          </w:tcPr>
          <w:p>
            <w:r/>
            <w:r>
              <w:rPr>
                <w:sz w:val="18"/>
              </w:rPr>
              <w:t>Weak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ROCE (EBIT / (Equity + Debt))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21.0%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18.1%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≥ 15.0%</w:t>
            </w:r>
          </w:p>
        </w:tc>
        <w:tc>
          <w:tcPr>
            <w:tcW w:type="dxa" w:w="1984"/>
            <w:shd w:val="clear" w:color="auto" w:fill="C6EFCE"/>
          </w:tcPr>
          <w:p>
            <w:r/>
            <w:r>
              <w:rPr>
                <w:sz w:val="18"/>
              </w:rPr>
              <w:t>Satisfactory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Altman Z'' (emerging-market)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3.34x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8"/>
              </w:rPr>
              <w:t>2.85x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≥ 2.60x</w:t>
            </w:r>
          </w:p>
        </w:tc>
        <w:tc>
          <w:tcPr>
            <w:tcW w:type="dxa" w:w="1984"/>
            <w:shd w:val="clear" w:color="auto" w:fill="C6EFCE"/>
          </w:tcPr>
          <w:p>
            <w:r/>
            <w:r>
              <w:rPr>
                <w:sz w:val="18"/>
              </w:rPr>
              <w:t>Satisfactory</w:t>
            </w:r>
          </w:p>
        </w:tc>
      </w:tr>
    </w:tbl>
    <w:p>
      <w:pPr>
        <w:pStyle w:val="Heading2"/>
      </w:pPr>
      <w:r>
        <w:t>1.2 Key strengths</w:t>
      </w:r>
    </w:p>
    <w:p>
      <w:pPr>
        <w:pStyle w:val="ListBullet"/>
        <w:spacing w:after="40"/>
      </w:pPr>
      <w:r>
        <w:rPr>
          <w:sz w:val="20"/>
        </w:rPr>
        <w:t>TOL / TNW of 2.17x (benchmark ≤ 3.00x)</w:t>
      </w:r>
    </w:p>
    <w:p>
      <w:pPr>
        <w:pStyle w:val="ListBullet"/>
        <w:spacing w:after="40"/>
      </w:pPr>
      <w:r>
        <w:rPr>
          <w:sz w:val="20"/>
        </w:rPr>
        <w:t>Total Debt / EBITDA of 3.00x (benchmark ≤ 3.00x)</w:t>
      </w:r>
    </w:p>
    <w:p>
      <w:pPr>
        <w:pStyle w:val="ListBullet"/>
        <w:spacing w:after="40"/>
      </w:pPr>
      <w:r>
        <w:rPr>
          <w:sz w:val="20"/>
        </w:rPr>
        <w:t>Interest Coverage (EBIT / Finance cost) of 3.39x (benchmark ≥ 3.00x)</w:t>
      </w:r>
    </w:p>
    <w:p>
      <w:pPr>
        <w:pStyle w:val="ListBullet"/>
        <w:spacing w:after="40"/>
      </w:pPr>
      <w:r>
        <w:rPr>
          <w:sz w:val="20"/>
        </w:rPr>
        <w:t>EBITDA Margin of 17.0% (benchmark ≥ 12.0%)</w:t>
      </w:r>
    </w:p>
    <w:p>
      <w:pPr>
        <w:pStyle w:val="ListBullet"/>
        <w:spacing w:after="40"/>
      </w:pPr>
      <w:r>
        <w:rPr>
          <w:sz w:val="20"/>
        </w:rPr>
        <w:t>ROCE (EBIT / (Equity + Debt)) of 18.1% (benchmark ≥ 15.0%)</w:t>
      </w:r>
    </w:p>
    <w:p>
      <w:pPr>
        <w:pStyle w:val="ListBullet"/>
        <w:spacing w:after="40"/>
      </w:pPr>
      <w:r>
        <w:rPr>
          <w:sz w:val="20"/>
        </w:rPr>
        <w:t>Altman Z'' (emerging-market) of 2.85x (benchmark ≥ 2.60x)</w:t>
      </w:r>
    </w:p>
    <w:p>
      <w:pPr>
        <w:pStyle w:val="Heading2"/>
      </w:pPr>
      <w:r>
        <w:t>1.3 Key concerns</w:t>
      </w:r>
    </w:p>
    <w:p>
      <w:pPr>
        <w:pStyle w:val="ListBullet"/>
        <w:spacing w:after="40"/>
      </w:pPr>
      <w:r>
        <w:rPr>
          <w:sz w:val="20"/>
        </w:rPr>
        <w:t>CFO / EBITDA of 0.15x (benchmark ≥ 0.70x)</w:t>
      </w:r>
    </w:p>
    <w:p>
      <w:pPr>
        <w:pStyle w:val="ListBullet"/>
        <w:spacing w:after="40"/>
      </w:pPr>
      <w:r>
        <w:rPr>
          <w:sz w:val="20"/>
        </w:rPr>
        <w:t>Sharp rise in loans &amp; advances given - Loans &amp; advances up 85.0 Cr (18% of net worth)</w:t>
      </w:r>
    </w:p>
    <w:p>
      <w:pPr>
        <w:pStyle w:val="ListBullet"/>
        <w:spacing w:after="40"/>
      </w:pPr>
      <w:r>
        <w:rPr>
          <w:sz w:val="20"/>
        </w:rPr>
        <w:t>Receivables growing much faster than revenue - Receivable growth exceeds sales growth by 37%</w:t>
      </w:r>
    </w:p>
    <w:p>
      <w:pPr>
        <w:pStyle w:val="ListBullet"/>
        <w:spacing w:after="40"/>
      </w:pPr>
      <w:r>
        <w:rPr>
          <w:sz w:val="20"/>
        </w:rPr>
        <w:t>Beneish M-score indicates possible earnings manipulation - M-score -1.76 (threshold -1.78)</w:t>
      </w:r>
    </w:p>
    <w:p>
      <w:pPr>
        <w:pStyle w:val="ListBullet"/>
        <w:spacing w:after="40"/>
      </w:pPr>
      <w:r>
        <w:rPr>
          <w:sz w:val="20"/>
        </w:rPr>
        <w:t>CARO: short-term funds used for long-term purposes - ...demand without specifying any terms or period of repayment aggregating Rs. 80.00 crore. (ix)(d) On an overall examination, funds raised o</w:t>
      </w:r>
    </w:p>
    <w:p>
      <w:pPr>
        <w:pStyle w:val="ListBullet"/>
        <w:spacing w:after="40"/>
      </w:pPr>
      <w:r>
        <w:rPr>
          <w:sz w:val="20"/>
        </w:rPr>
        <w:t>CARO: loans without repayment terms - ...crore. Annexure to the Auditor's Report (Companies (Auditor's Report) Order, 2020): (iii) The Company has granted loans to a related part</w:t>
      </w:r>
    </w:p>
    <w:p>
      <w:pPr>
        <w:pStyle w:val="Heading2"/>
      </w:pPr>
      <w:r>
        <w:t>1.4 Recommendation</w:t>
      </w:r>
    </w:p>
    <w:p>
      <w:pPr>
        <w:spacing w:after="120"/>
        <w:jc w:val="both"/>
      </w:pPr>
      <w:r>
        <w:rPr>
          <w:b w:val="0"/>
          <w:i w:val="0"/>
          <w:sz w:val="21"/>
        </w:rPr>
        <w:t>Refer / further diligence. The recommendation reflects an internal score of 44/100 (CI-5 - Elevated risk) and 5 high-severity observation(s). Sanction should be subject to satisfactory resolution of the high-severity observations listed in Section 7 and the conditions in Section 12.</w:t>
      </w:r>
    </w:p>
    <w:p>
      <w:pPr>
        <w:pStyle w:val="Heading1"/>
      </w:pPr>
      <w:r>
        <w:t>2. Borrower Profile and Data Validation</w:t>
      </w:r>
    </w:p>
    <w:p>
      <w:pPr>
        <w:pStyle w:val="Heading2"/>
      </w:pPr>
      <w:r>
        <w:t>2.1 Borrower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val="clear" w:color="auto" w:fill="EEF2F8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Deccan Polyfab Industries Ltd (fictional sample)</w:t>
            </w:r>
          </w:p>
        </w:tc>
      </w:tr>
      <w:tr>
        <w:tc>
          <w:tcPr>
            <w:tcW w:type="dxa" w:w="3685"/>
            <w:shd w:val="clear" w:color="auto" w:fill="EEF2F8"/>
          </w:tcPr>
          <w:p>
            <w:r/>
            <w:r>
              <w:rPr>
                <w:b/>
                <w:sz w:val="19"/>
              </w:rPr>
              <w:t>CIN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L25209MH2004PLC123456</w:t>
            </w:r>
          </w:p>
        </w:tc>
      </w:tr>
      <w:tr>
        <w:tc>
          <w:tcPr>
            <w:tcW w:type="dxa" w:w="3685"/>
            <w:shd w:val="clear" w:color="auto" w:fill="EEF2F8"/>
          </w:tcPr>
          <w:p>
            <w:r/>
            <w:r>
              <w:rPr>
                <w:b/>
                <w:sz w:val="19"/>
              </w:rPr>
              <w:t>Statements analysed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Standalone, FY2024, FY2025</w:t>
            </w:r>
          </w:p>
        </w:tc>
      </w:tr>
      <w:tr>
        <w:tc>
          <w:tcPr>
            <w:tcW w:type="dxa" w:w="3685"/>
            <w:shd w:val="clear" w:color="auto" w:fill="EEF2F8"/>
          </w:tcPr>
          <w:p>
            <w:r/>
            <w:r>
              <w:rPr>
                <w:b/>
                <w:sz w:val="19"/>
              </w:rPr>
              <w:t>Statutory auditor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3685"/>
            <w:shd w:val="clear" w:color="auto" w:fill="EEF2F8"/>
          </w:tcPr>
          <w:p>
            <w:r/>
            <w:r>
              <w:rPr>
                <w:b/>
                <w:sz w:val="19"/>
              </w:rPr>
              <w:t>Audit opinion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Unmodified</w:t>
            </w:r>
          </w:p>
        </w:tc>
      </w:tr>
      <w:tr>
        <w:tc>
          <w:tcPr>
            <w:tcW w:type="dxa" w:w="3685"/>
            <w:shd w:val="clear" w:color="auto" w:fill="EEF2F8"/>
          </w:tcPr>
          <w:p>
            <w:r/>
            <w:r>
              <w:rPr>
                <w:b/>
                <w:sz w:val="19"/>
              </w:rPr>
              <w:t>Revenue (latest)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₹1,350.00 Cr</w:t>
            </w:r>
          </w:p>
        </w:tc>
      </w:tr>
      <w:tr>
        <w:tc>
          <w:tcPr>
            <w:tcW w:type="dxa" w:w="3685"/>
            <w:shd w:val="clear" w:color="auto" w:fill="EEF2F8"/>
          </w:tcPr>
          <w:p>
            <w:r/>
            <w:r>
              <w:rPr>
                <w:b/>
                <w:sz w:val="19"/>
              </w:rPr>
              <w:t>Net worth (latest)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₹470.00 Cr</w:t>
            </w:r>
          </w:p>
        </w:tc>
      </w:tr>
      <w:tr>
        <w:tc>
          <w:tcPr>
            <w:tcW w:type="dxa" w:w="3685"/>
            <w:shd w:val="clear" w:color="auto" w:fill="EEF2F8"/>
          </w:tcPr>
          <w:p>
            <w:r/>
            <w:r>
              <w:rPr>
                <w:b/>
                <w:sz w:val="19"/>
              </w:rPr>
              <w:t>Funded debt (latest)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₹690.00 Cr</w:t>
            </w:r>
          </w:p>
        </w:tc>
      </w:tr>
    </w:tbl>
    <w:p>
      <w:pPr>
        <w:pStyle w:val="Heading2"/>
      </w:pPr>
      <w:r>
        <w:t>2.2 Data extraction and validation</w:t>
      </w:r>
    </w:p>
    <w:p>
      <w:pPr>
        <w:spacing w:after="120"/>
        <w:jc w:val="both"/>
      </w:pPr>
      <w:r>
        <w:rPr>
          <w:b w:val="0"/>
          <w:i w:val="0"/>
          <w:sz w:val="21"/>
        </w:rPr>
        <w:t>Financial statements were located within the source documents, read (with optical character recognition where pages were scanned) and mapped to a standard Schedule III spread. The following integrity checks were applied.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1134"/>
        <w:gridCol w:w="5953"/>
      </w:tblGrid>
      <w:tr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5953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Detail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Balance sheet tie-out FY2025</w:t>
            </w:r>
          </w:p>
        </w:tc>
        <w:tc>
          <w:tcPr>
            <w:tcW w:type="dxa" w:w="1134"/>
            <w:shd w:val="clear" w:color="auto" w:fill="C6EFCE"/>
          </w:tcPr>
          <w:p>
            <w:r/>
            <w:r>
              <w:rPr>
                <w:sz w:val="17"/>
              </w:rPr>
              <w:t>Passed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Assets ₹1,473.00 Cr vs equity &amp; liabilities ₹1,473.00 Cr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P&amp;L tie-out FY2025</w:t>
            </w:r>
          </w:p>
        </w:tc>
        <w:tc>
          <w:tcPr>
            <w:tcW w:type="dxa" w:w="1134"/>
            <w:shd w:val="clear" w:color="auto" w:fill="C6EFCE"/>
          </w:tcPr>
          <w:p>
            <w:r/>
            <w:r>
              <w:rPr>
                <w:sz w:val="17"/>
              </w:rPr>
              <w:t>Passed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PBT ₹148.00 Cr - tax ₹37.00 Cr = PAT ₹111.00 Cr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Line items captured FY2025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Info</w:t>
            </w:r>
          </w:p>
        </w:tc>
        <w:tc>
          <w:tcPr>
            <w:tcW w:type="dxa" w:w="5953"/>
          </w:tcPr>
          <w:p>
            <w:pPr>
              <w:jc w:val="right"/>
            </w:pPr>
            <w:r/>
            <w:r>
              <w:rPr>
                <w:sz w:val="17"/>
              </w:rPr>
              <w:t>52 of 71 standard items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Balance sheet tie-out FY2024</w:t>
            </w:r>
          </w:p>
        </w:tc>
        <w:tc>
          <w:tcPr>
            <w:tcW w:type="dxa" w:w="1134"/>
            <w:shd w:val="clear" w:color="auto" w:fill="C6EFCE"/>
          </w:tcPr>
          <w:p>
            <w:r/>
            <w:r>
              <w:rPr>
                <w:sz w:val="17"/>
              </w:rPr>
              <w:t>Passed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Assets ₹1,151.00 Cr vs equity &amp; liabilities ₹1,151.00 Cr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P&amp;L tie-out FY2024</w:t>
            </w:r>
          </w:p>
        </w:tc>
        <w:tc>
          <w:tcPr>
            <w:tcW w:type="dxa" w:w="1134"/>
            <w:shd w:val="clear" w:color="auto" w:fill="C6EFCE"/>
          </w:tcPr>
          <w:p>
            <w:r/>
            <w:r>
              <w:rPr>
                <w:sz w:val="17"/>
              </w:rPr>
              <w:t>Passed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PBT ₹138.00 Cr - tax ₹35.00 Cr = PAT ₹103.00 Cr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7"/>
              </w:rPr>
              <w:t>Line items captured FY2024</w:t>
            </w:r>
          </w:p>
        </w:tc>
        <w:tc>
          <w:tcPr>
            <w:tcW w:type="dxa" w:w="1134"/>
          </w:tcPr>
          <w:p>
            <w:r/>
            <w:r>
              <w:rPr>
                <w:sz w:val="17"/>
              </w:rPr>
              <w:t>Info</w:t>
            </w:r>
          </w:p>
        </w:tc>
        <w:tc>
          <w:tcPr>
            <w:tcW w:type="dxa" w:w="5953"/>
          </w:tcPr>
          <w:p>
            <w:pPr>
              <w:jc w:val="right"/>
            </w:pPr>
            <w:r/>
            <w:r>
              <w:rPr>
                <w:sz w:val="17"/>
              </w:rPr>
              <w:t>52 of 71 standard items</w:t>
            </w:r>
          </w:p>
        </w:tc>
      </w:tr>
    </w:tbl>
    <w:p>
      <w:pPr>
        <w:pStyle w:val="Heading1"/>
      </w:pPr>
      <w:r>
        <w:t>3. Financial Performance Analysis</w:t>
      </w:r>
    </w:p>
    <w:p>
      <w:pPr>
        <w:pStyle w:val="Heading2"/>
      </w:pPr>
      <w:r>
        <w:t>3.1 Income statement</w:t>
      </w:r>
    </w:p>
    <w:p>
      <w:pPr>
        <w:spacing w:after="120"/>
        <w:jc w:val="both"/>
      </w:pPr>
      <w:r>
        <w:rPr>
          <w:b w:val="0"/>
          <w:i w:val="0"/>
          <w:sz w:val="21"/>
        </w:rPr>
        <w:t>Revenue from operations rose 8.0% to ₹1,350.00 Cr from ₹1,250.00 Cr in FY2025. Operating profit (EBITDA) rose 11.1% to ₹230.00 Cr from ₹207.00 Cr, with the EBITDA margin moving from 16.6% to 17.0% (+48 bps). Profit growth has broadly kept pace with revenue.</w:t>
      </w:r>
    </w:p>
    <w:p>
      <w:pPr>
        <w:spacing w:after="120"/>
        <w:jc w:val="both"/>
      </w:pPr>
      <w:r>
        <w:rPr>
          <w:b w:val="0"/>
          <w:i w:val="0"/>
          <w:sz w:val="21"/>
        </w:rPr>
        <w:t>Cost structure (as a share of revenue): cost of goods and services 62.2%, employee cost 7.0%, other expenses 13.7%. Operating costs are spread across materials, people and overheads.</w:t>
      </w:r>
    </w:p>
    <w:p>
      <w:pPr>
        <w:spacing w:after="120"/>
        <w:jc w:val="both"/>
      </w:pPr>
      <w:r>
        <w:rPr>
          <w:b w:val="0"/>
          <w:i w:val="0"/>
          <w:sz w:val="21"/>
        </w:rPr>
        <w:t>Finance cost was ₹62.00 Cr and depreciation ₹38.00 Cr, leaving profit before tax of ₹148.00 Cr and profit after tax of ₹111.00 Cr (PAT margin 8.2%). Other income contributed 12.2% of PBT, which is not material to the earnings profile. The effective tax rate was 25.0%.</w:t>
      </w:r>
    </w:p>
    <w:p>
      <w:r>
        <w:drawing>
          <wp:inline xmlns:a="http://schemas.openxmlformats.org/drawingml/2006/main" xmlns:pic="http://schemas.openxmlformats.org/drawingml/2006/picture">
            <wp:extent cx="5940000" cy="254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4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color w:val="595959"/>
          <w:sz w:val="17"/>
        </w:rPr>
        <w:t>Figure 1 - Revenue, EBITDA and PAT (₹ crore).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Horizontal analysis (₹ Cr)</w:t>
            </w:r>
          </w:p>
        </w:tc>
        <w:tc>
          <w:tcPr>
            <w:tcW w:type="dxa" w:w="2493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2493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FY2025</w:t>
            </w:r>
          </w:p>
        </w:tc>
        <w:tc>
          <w:tcPr>
            <w:tcW w:type="dxa" w:w="2493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YoY change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Revenue from Operations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1,250.00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1,350.00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8.0%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Other Income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12.00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18.00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50.0%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Cost of Goods Sold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785.00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840.00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7.0%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Employee Benefits Expense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88.00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95.00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8.0%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Other Expenses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170.00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185.00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8.8%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EBITDA (operating, excl. other income)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207.00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230.00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11.1%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Depreciation &amp; Amortisation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36.00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38.00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5.6%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Finance Costs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45.00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62.00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37.8%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Profit Before Tax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138.00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148.00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7.2%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Total Tax Expense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35.00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37.00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5.7%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Profit After Tax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103.00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111.00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7.8%</w:t>
            </w:r>
          </w:p>
        </w:tc>
      </w:tr>
    </w:tbl>
    <w:p>
      <w:pPr>
        <w:spacing w:after="160"/>
      </w:pPr>
      <w:r>
        <w:rPr>
          <w:b w:val="0"/>
          <w:i/>
          <w:color w:val="595959"/>
          <w:sz w:val="17"/>
        </w:rPr>
        <w:t>Table - Income statement with year-on-year change for the latest year.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Vertical analysis (% of revenue)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Revenue from operations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100.0%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100.0%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Cost of goods / services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62.8%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62.2%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Employee cost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7.0%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7.0%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Other expenses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13.6%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13.7%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EBITDA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16.6%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17.0%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Depreciation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2.9%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2.8%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Finance cost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3.6%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4.6%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Other income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1.0%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1.3%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Profit before tax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11.0%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11.0%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Tax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2.8%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2.7%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Profit after tax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8.2%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8.2%</w:t>
            </w:r>
          </w:p>
        </w:tc>
      </w:tr>
    </w:tbl>
    <w:p>
      <w:pPr>
        <w:spacing w:after="160"/>
      </w:pPr>
      <w:r>
        <w:rPr>
          <w:b w:val="0"/>
          <w:i/>
          <w:color w:val="595959"/>
          <w:sz w:val="17"/>
        </w:rPr>
        <w:t>Table - Common-size income statement; each line expressed as a percentage of revenue.</w:t>
      </w:r>
    </w:p>
    <w:p>
      <w:pPr>
        <w:pStyle w:val="Heading2"/>
      </w:pPr>
      <w:r>
        <w:t>3.2 Balance sheet</w:t>
      </w:r>
    </w:p>
    <w:p>
      <w:pPr>
        <w:spacing w:after="120"/>
        <w:jc w:val="both"/>
      </w:pPr>
      <w:r>
        <w:rPr>
          <w:b w:val="0"/>
          <w:i w:val="0"/>
          <w:sz w:val="21"/>
        </w:rPr>
        <w:t>Total assets rose 28.0% to ₹1,473.00 Cr from ₹1,151.00 Cr. The largest assets are property, plant &amp; equipment (net block) (28.5%), trade receivables (19.7%), inventories (14.3%) of total assets.</w:t>
      </w:r>
    </w:p>
    <w:p>
      <w:pPr>
        <w:spacing w:after="120"/>
        <w:jc w:val="both"/>
      </w:pPr>
      <w:r>
        <w:rPr>
          <w:b w:val="0"/>
          <w:i w:val="0"/>
          <w:sz w:val="21"/>
        </w:rPr>
        <w:t>Net worth rose 9.3% to ₹470.00 Cr from ₹430.00 Cr. Reserves increased by ₹40.00 Cr against PAT of ₹111.00 Cr - about 64% of profit did not stay in the business (dividends, OCI losses or other adjustments). Total borrowings of ₹690.00 Cr are 43% short-term; debt-to-equity is 1.47x and TOL/TNW 2.17x.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Balance sheet composition (% of total assets)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Net fixed assets (PPE + RoU + intangibles)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37.4%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29.9%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Capital work-in-progress &amp; capital advances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8.5%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8.5%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Non-current investments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6.1%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7.5%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Loans &amp; advances given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2.2%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7.5%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Inventories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15.6%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14.3%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Trade receivables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17.4%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19.7%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Cash, bank &amp; current investments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7.8%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8.1%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Other assets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5.0%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4.6%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Net worth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37.4%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31.9%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Long-term borrowings &amp; leases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23.6%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26.5%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Short-term borrowings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14.7%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20.4%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Trade payables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16.5%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14.3%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Other liabilities &amp; provisions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7.8%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7.0%</w:t>
            </w:r>
          </w:p>
        </w:tc>
      </w:tr>
    </w:tbl>
    <w:p>
      <w:pPr>
        <w:pStyle w:val="Heading2"/>
      </w:pPr>
      <w:r>
        <w:t>3.3 Cash flow and quality of earnings</w:t>
      </w:r>
    </w:p>
    <w:p>
      <w:pPr>
        <w:spacing w:after="120"/>
        <w:jc w:val="both"/>
      </w:pPr>
      <w:r>
        <w:rPr>
          <w:b w:val="0"/>
          <w:i w:val="0"/>
          <w:sz w:val="21"/>
        </w:rPr>
        <w:t>Net cash from operating activities was ₹35.00 Cr against PAT of ₹111.00 Cr and EBITDA of ₹230.00 Cr (CFO/EBITDA 0.15x). Very little of the reported profit converted to cash - a key quality-of-earnings concern.</w:t>
      </w:r>
    </w:p>
    <w:p>
      <w:pPr>
        <w:spacing w:after="120"/>
        <w:jc w:val="both"/>
      </w:pPr>
      <w:r>
        <w:rPr>
          <w:b w:val="0"/>
          <w:i w:val="0"/>
          <w:sz w:val="21"/>
        </w:rPr>
        <w:t>Capital expenditure was ₹48.00 Cr, giving free cash flow of (₹13.00 Cr). Net investing outflow was ₹171.40 Cr, of which ₹123.40 Cr went to investments, deposits or loans other than fixed assets - the destination should be confirmed. Financing activities brought in ₹161.40 Cr.</w:t>
      </w:r>
    </w:p>
    <w:p>
      <w:pPr>
        <w:spacing w:after="120"/>
        <w:jc w:val="both"/>
      </w:pPr>
      <w:r>
        <w:rPr>
          <w:b w:val="0"/>
          <w:i w:val="0"/>
          <w:sz w:val="21"/>
        </w:rPr>
        <w:t>Across the 2 years reviewed, cumulative CFO of ₹155.00 Cr compares with cumulative PAT of ₹214.00 Cr (conversion 72%).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Cash flow (₹ Cr)</w:t>
            </w:r>
          </w:p>
        </w:tc>
        <w:tc>
          <w:tcPr>
            <w:tcW w:type="dxa" w:w="2493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2493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FY2025</w:t>
            </w:r>
          </w:p>
        </w:tc>
        <w:tc>
          <w:tcPr>
            <w:tcW w:type="dxa" w:w="2493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YoY change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Profit After Tax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103.00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111.00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7.8%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Depreciation &amp; Amortisation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36.00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38.00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5.6%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Net Cash from Operating Activities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120.00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35.00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-70.8%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Capex (Purchase of PPE &amp; Intangibles, outflow)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(40.00)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(48.00)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20.0%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Free Cash Flow (CFO - capex)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80.00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(13.00)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-116.3%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Net Cash from Investing Activities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(58.80)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(171.40)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191.5%</w:t>
            </w:r>
          </w:p>
        </w:tc>
      </w:tr>
      <w:tr>
        <w:tc>
          <w:tcPr>
            <w:tcW w:type="dxa" w:w="2493"/>
          </w:tcPr>
          <w:p>
            <w:r/>
            <w:r>
              <w:rPr>
                <w:sz w:val="17"/>
              </w:rPr>
              <w:t>Net Cash from Financing Activities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(91.20)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161.40</w:t>
            </w:r>
          </w:p>
        </w:tc>
        <w:tc>
          <w:tcPr>
            <w:tcW w:type="dxa" w:w="2493"/>
          </w:tcPr>
          <w:p>
            <w:pPr>
              <w:jc w:val="right"/>
            </w:pPr>
            <w:r/>
            <w:r>
              <w:rPr>
                <w:sz w:val="17"/>
              </w:rPr>
              <w:t>-277.0%</w:t>
            </w:r>
          </w:p>
        </w:tc>
      </w:tr>
    </w:tbl>
    <w:p>
      <w:pPr>
        <w:pStyle w:val="Heading2"/>
      </w:pPr>
      <w:r>
        <w:t>3.4 Sources and uses of funds</w:t>
      </w:r>
    </w:p>
    <w:p>
      <w:pPr>
        <w:spacing w:after="120"/>
        <w:jc w:val="both"/>
      </w:pPr>
      <w:r>
        <w:rPr>
          <w:b w:val="0"/>
          <w:i w:val="0"/>
          <w:sz w:val="21"/>
        </w:rPr>
        <w:t>Between FY2024 and FY2025 the main sources of funds were short-term borrowings (₹131.00 Cr); long-term borrowings (₹120.00 Cr); other equity (reserves &amp; surplus) (₹40.00 Cr). These were deployed mainly into trade receivables (₹90.00 Cr); non-current loans &amp; advances (₹75.00 Cr); non-current investments (₹40.00 Cr). A notable part of the funds went into non-current loans &amp; advances, non-current investments - items that do not generate operating income and are a common route for diversion; the end-use should be documented.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402"/>
        <w:gridCol w:w="1417"/>
        <w:gridCol w:w="3402"/>
        <w:gridCol w:w="1417"/>
      </w:tblGrid>
      <w:tr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Sources of funds (FY2024 to FY2025)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₹ Cr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Uses of funds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₹ Cr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Short-term Borrowings (increase)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131.00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Trade Receivables (increase)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90.00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Long-term Borrowings (increase)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120.00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Non-current Loans &amp; Advances (increase)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75.00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Other Equity (Reserves &amp; Surplus) (increase)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40.00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Non-current Investments (increase)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40.00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Trade Payables (increase)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20.00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Inventories (increase)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30.00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Other Current Financial Liabilities (increase)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5.00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Cash &amp; Cash Equivalents (increase)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25.00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Other Current Liabilities (increase)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3.00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Capital Advances (increase)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22.00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Deferred Tax Liabilities (Net) (increase)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2.00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Property, Plant &amp; Equipment (Net Block) (increase)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10.00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Right-of-Use Assets (decrease)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2.00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Current Loans &amp; Advances (increase)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10.00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Long-term Provisions (increase)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1.00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Capital Work-in-Progress (increase)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5.00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Short-term Provisions (increase)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1.00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Other Bank Balances (increase)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5.00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Current Tax Liabilities (Net) (increase)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1.00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Other Non-current Assets (increase)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3.00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Other Current Financial Assets (increase)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3.00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7"/>
              </w:rPr>
              <w:t>Total sources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326.00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Total uses</w:t>
            </w:r>
          </w:p>
        </w:tc>
        <w:tc>
          <w:tcPr>
            <w:tcW w:type="dxa" w:w="1417"/>
          </w:tcPr>
          <w:p>
            <w:pPr>
              <w:jc w:val="right"/>
            </w:pPr>
            <w:r/>
            <w:r>
              <w:rPr>
                <w:sz w:val="17"/>
              </w:rPr>
              <w:t>326.00</w:t>
            </w:r>
          </w:p>
        </w:tc>
      </w:tr>
    </w:tbl>
    <w:p>
      <w:pPr>
        <w:spacing w:after="160"/>
      </w:pPr>
      <w:r>
        <w:rPr>
          <w:b w:val="0"/>
          <w:i/>
          <w:color w:val="595959"/>
          <w:sz w:val="17"/>
        </w:rPr>
        <w:t>Derived from movements between the two latest balance sheets. Increases in liabilities and decreases in assets are sources; the reverse are uses.</w:t>
      </w:r>
    </w:p>
    <w:p>
      <w:pPr>
        <w:pStyle w:val="Heading2"/>
      </w:pPr>
      <w:r>
        <w:t>3.5 Line-item anomalies</w:t>
      </w:r>
    </w:p>
    <w:p>
      <w:pPr>
        <w:spacing w:after="120"/>
        <w:jc w:val="both"/>
      </w:pPr>
      <w:r>
        <w:rPr>
          <w:b w:val="0"/>
          <w:i w:val="0"/>
          <w:sz w:val="21"/>
        </w:rPr>
        <w:t>The following line items moved by more than 50% year on year and are material (above 2% of total assets or revenue). Large unexplained movements are where errors, reclassifications and window-dressing are most often found; each should be explained by management with supporting schedules.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1587"/>
        <w:gridCol w:w="1587"/>
        <w:gridCol w:w="1247"/>
        <w:gridCol w:w="2098"/>
      </w:tblGrid>
      <w:tr>
        <w:tc>
          <w:tcPr>
            <w:tcW w:type="dxa" w:w="311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Line item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FY2025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Change</w:t>
            </w:r>
          </w:p>
        </w:tc>
        <w:tc>
          <w:tcPr>
            <w:tcW w:type="dxa" w:w="209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Materiality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Short-term Borrowings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₹169.00 Cr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₹300.00 Cr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+78%</w:t>
            </w:r>
          </w:p>
        </w:tc>
        <w:tc>
          <w:tcPr>
            <w:tcW w:type="dxa" w:w="2098"/>
          </w:tcPr>
          <w:p>
            <w:pPr>
              <w:jc w:val="right"/>
            </w:pPr>
            <w:r/>
            <w:r>
              <w:rPr>
                <w:sz w:val="17"/>
              </w:rPr>
              <w:t>8.9% of assets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Non-current Loans &amp; Advances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₹10.00 Cr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₹85.00 Cr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+750%</w:t>
            </w:r>
          </w:p>
        </w:tc>
        <w:tc>
          <w:tcPr>
            <w:tcW w:type="dxa" w:w="2098"/>
          </w:tcPr>
          <w:p>
            <w:pPr>
              <w:jc w:val="right"/>
            </w:pPr>
            <w:r/>
            <w:r>
              <w:rPr>
                <w:sz w:val="17"/>
              </w:rPr>
              <w:t>5.1% of assets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7"/>
              </w:rPr>
              <w:t>Non-current Investments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₹70.00 Cr</w:t>
            </w:r>
          </w:p>
        </w:tc>
        <w:tc>
          <w:tcPr>
            <w:tcW w:type="dxa" w:w="1587"/>
          </w:tcPr>
          <w:p>
            <w:r/>
            <w:r>
              <w:rPr>
                <w:sz w:val="17"/>
              </w:rPr>
              <w:t>₹110.00 Cr</w:t>
            </w:r>
          </w:p>
        </w:tc>
        <w:tc>
          <w:tcPr>
            <w:tcW w:type="dxa" w:w="1247"/>
          </w:tcPr>
          <w:p>
            <w:r/>
            <w:r>
              <w:rPr>
                <w:sz w:val="17"/>
              </w:rPr>
              <w:t>+57%</w:t>
            </w:r>
          </w:p>
        </w:tc>
        <w:tc>
          <w:tcPr>
            <w:tcW w:type="dxa" w:w="2098"/>
          </w:tcPr>
          <w:p>
            <w:pPr>
              <w:jc w:val="right"/>
            </w:pPr>
            <w:r/>
            <w:r>
              <w:rPr>
                <w:sz w:val="17"/>
              </w:rPr>
              <w:t>2.7% of assets</w:t>
            </w:r>
          </w:p>
        </w:tc>
      </w:tr>
    </w:tbl>
    <w:p>
      <w:pPr>
        <w:pStyle w:val="Heading1"/>
      </w:pPr>
      <w:r>
        <w:t>4. Ratio Analysis</w:t>
      </w:r>
    </w:p>
    <w:p>
      <w:pPr>
        <w:spacing w:after="120"/>
        <w:jc w:val="both"/>
      </w:pPr>
      <w:r>
        <w:rPr>
          <w:b w:val="0"/>
          <w:i w:val="0"/>
          <w:sz w:val="21"/>
        </w:rPr>
        <w:t>Ratios are computed from the standardised spread using a single formula set shared with the Excel workbook. Benchmarks reflect common Indian bank credit norms and should be read alongside sector characteristics.</w:t>
      </w:r>
    </w:p>
    <w:p>
      <w:r>
        <w:drawing>
          <wp:inline xmlns:a="http://schemas.openxmlformats.org/drawingml/2006/main" xmlns:pic="http://schemas.openxmlformats.org/drawingml/2006/picture">
            <wp:extent cx="5940000" cy="237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color w:val="595959"/>
          <w:sz w:val="17"/>
        </w:rPr>
        <w:t>Figure 2 - Leverage trend (times).</w:t>
      </w:r>
    </w:p>
    <w:p>
      <w:pPr>
        <w:pStyle w:val="Heading2"/>
      </w:pPr>
      <w:r>
        <w:t>4.1 Liquidity</w:t>
      </w:r>
    </w:p>
    <w:p>
      <w:pPr>
        <w:spacing w:after="120"/>
        <w:jc w:val="both"/>
      </w:pPr>
      <w:r>
        <w:rPr>
          <w:b w:val="0"/>
          <w:i w:val="0"/>
          <w:sz w:val="21"/>
        </w:rPr>
        <w:t>Short-term liquidity: current ratio 1.18x and quick ratio 0.82x; net working capital ₹105.00 Cr.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247"/>
        <w:gridCol w:w="1247"/>
        <w:gridCol w:w="1361"/>
        <w:gridCol w:w="1474"/>
      </w:tblGrid>
      <w:tr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Ratio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FY2025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Benchmark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Current Ratio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1.24x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1.18x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≥ 1.33x</w:t>
            </w:r>
          </w:p>
        </w:tc>
        <w:tc>
          <w:tcPr>
            <w:tcW w:type="dxa" w:w="1474"/>
            <w:shd w:val="clear" w:color="auto" w:fill="FFEB9C"/>
          </w:tcPr>
          <w:p>
            <w:r/>
            <w:r>
              <w:rPr>
                <w:sz w:val="17"/>
              </w:rPr>
              <w:t>Watch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Quick Ratio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0.81x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0.82x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≥ 1.00x</w:t>
            </w:r>
          </w:p>
        </w:tc>
        <w:tc>
          <w:tcPr>
            <w:tcW w:type="dxa" w:w="1474"/>
            <w:shd w:val="clear" w:color="auto" w:fill="FFEB9C"/>
          </w:tcPr>
          <w:p>
            <w:r/>
            <w:r>
              <w:rPr>
                <w:sz w:val="17"/>
              </w:rPr>
              <w:t>Watch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Cash Ratio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0.21x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0.21x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≥ 0.30x</w:t>
            </w:r>
          </w:p>
        </w:tc>
        <w:tc>
          <w:tcPr>
            <w:tcW w:type="dxa" w:w="1474"/>
            <w:shd w:val="clear" w:color="auto" w:fill="FFEB9C"/>
          </w:tcPr>
          <w:p>
            <w:r/>
            <w:r>
              <w:rPr>
                <w:sz w:val="17"/>
              </w:rPr>
              <w:t>Watch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Net Working Capital (Cr)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100.00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105.00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≥ 0.00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7"/>
              </w:rPr>
              <w:t>Satisfactory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MPBF - Tandon Method II (Cr)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138.50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233.00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-</w:t>
            </w:r>
          </w:p>
        </w:tc>
      </w:tr>
    </w:tbl>
    <w:p>
      <w:pPr>
        <w:pStyle w:val="Heading2"/>
      </w:pPr>
      <w:r>
        <w:t>4.2 Leverage</w:t>
      </w:r>
    </w:p>
    <w:p>
      <w:pPr>
        <w:spacing w:after="120"/>
        <w:jc w:val="both"/>
      </w:pPr>
      <w:r>
        <w:rPr>
          <w:b w:val="0"/>
          <w:i w:val="0"/>
          <w:sz w:val="21"/>
        </w:rPr>
        <w:t xml:space="preserve">Capital structure: debt-to-equity 1.47x, TOL/TNW 2.17x and debt/EBITDA 3.00x. 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247"/>
        <w:gridCol w:w="1247"/>
        <w:gridCol w:w="1361"/>
        <w:gridCol w:w="1474"/>
      </w:tblGrid>
      <w:tr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Ratio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FY2025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Benchmark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Debt / Equity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1.03x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1.47x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≤ 1.00x</w:t>
            </w:r>
          </w:p>
        </w:tc>
        <w:tc>
          <w:tcPr>
            <w:tcW w:type="dxa" w:w="1474"/>
            <w:shd w:val="clear" w:color="auto" w:fill="FFEB9C"/>
          </w:tcPr>
          <w:p>
            <w:r/>
            <w:r>
              <w:rPr>
                <w:sz w:val="17"/>
              </w:rPr>
              <w:t>Watch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TOL / TNW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1.70x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2.17x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≤ 3.00x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7"/>
              </w:rPr>
              <w:t>Satisfactory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Total Debt / EBITDA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2.13x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3.00x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≤ 3.00x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7"/>
              </w:rPr>
              <w:t>Satisfactory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Net Debt / EBITDA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1.70x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2.48x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≤ 2.50x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7"/>
              </w:rPr>
              <w:t>Satisfactory</w:t>
            </w:r>
          </w:p>
        </w:tc>
      </w:tr>
    </w:tbl>
    <w:p>
      <w:pPr>
        <w:pStyle w:val="Heading2"/>
      </w:pPr>
      <w:r>
        <w:t>4.3 Coverage</w:t>
      </w:r>
    </w:p>
    <w:p>
      <w:pPr>
        <w:spacing w:after="120"/>
        <w:jc w:val="both"/>
      </w:pPr>
      <w:r>
        <w:rPr>
          <w:b w:val="0"/>
          <w:i w:val="0"/>
          <w:sz w:val="21"/>
        </w:rPr>
        <w:t>Debt service: interest coverage 3.39x, EBITDA/interest 3.71x, DSCR n.a. (DSCR requires the current maturities of long-term debt, which were not available).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247"/>
        <w:gridCol w:w="1247"/>
        <w:gridCol w:w="1361"/>
        <w:gridCol w:w="1474"/>
      </w:tblGrid>
      <w:tr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Ratio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FY2025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Benchmark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Interest Coverage (EBIT / Finance cost)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4.07x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3.39x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≥ 3.00x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7"/>
              </w:rPr>
              <w:t>Satisfactory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EBITDA / Finance cost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4.60x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3.71x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≥ 4.00x</w:t>
            </w:r>
          </w:p>
        </w:tc>
        <w:tc>
          <w:tcPr>
            <w:tcW w:type="dxa" w:w="1474"/>
            <w:shd w:val="clear" w:color="auto" w:fill="FFEB9C"/>
          </w:tcPr>
          <w:p>
            <w:r/>
            <w:r>
              <w:rPr>
                <w:sz w:val="17"/>
              </w:rPr>
              <w:t>Watch</w:t>
            </w:r>
          </w:p>
        </w:tc>
      </w:tr>
    </w:tbl>
    <w:p>
      <w:pPr>
        <w:pStyle w:val="Heading2"/>
      </w:pPr>
      <w:r>
        <w:t>4.4 Profitability</w:t>
      </w:r>
    </w:p>
    <w:p>
      <w:pPr>
        <w:spacing w:after="120"/>
        <w:jc w:val="both"/>
      </w:pPr>
      <w:r>
        <w:rPr>
          <w:b w:val="0"/>
          <w:i w:val="0"/>
          <w:sz w:val="21"/>
        </w:rPr>
        <w:t>Returns: EBITDA margin 17.0%, PAT margin 8.2%, ROE 23.6%, ROCE 18.1%.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247"/>
        <w:gridCol w:w="1247"/>
        <w:gridCol w:w="1361"/>
        <w:gridCol w:w="1474"/>
      </w:tblGrid>
      <w:tr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Ratio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FY2025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Benchmark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EBITDA Margin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16.6%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17.0%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≥ 12.0%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7"/>
              </w:rPr>
              <w:t>Satisfactory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PAT Margin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8.2%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8.2%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≥ 6.0%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7"/>
              </w:rPr>
              <w:t>Satisfactory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Return on Equity (closing)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24.0%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23.6%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≥ 15.0%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7"/>
              </w:rPr>
              <w:t>Satisfactory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ROCE (EBIT / (Equity + Debt))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21.0%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18.1%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≥ 15.0%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7"/>
              </w:rPr>
              <w:t>Satisfactory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Return on Assets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8.9%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7.5%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≥ 6.0%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7"/>
              </w:rPr>
              <w:t>Satisfactory</w:t>
            </w:r>
          </w:p>
        </w:tc>
      </w:tr>
    </w:tbl>
    <w:p>
      <w:pPr>
        <w:pStyle w:val="Heading2"/>
      </w:pPr>
      <w:r>
        <w:t>4.5 Efficiency</w:t>
      </w:r>
    </w:p>
    <w:p>
      <w:pPr>
        <w:spacing w:after="120"/>
        <w:jc w:val="both"/>
      </w:pPr>
      <w:r>
        <w:rPr>
          <w:b w:val="0"/>
          <w:i w:val="0"/>
          <w:sz w:val="21"/>
        </w:rPr>
        <w:t>Asset utilisation: asset turnover 0.92x; debtor days 78 days, inventory days 91 days, creditor days 91 days.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247"/>
        <w:gridCol w:w="1247"/>
        <w:gridCol w:w="1361"/>
        <w:gridCol w:w="1474"/>
      </w:tblGrid>
      <w:tr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Ratio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FY2025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Benchmark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Asset Turnover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1.09x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0.92x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≥ 1.00x</w:t>
            </w:r>
          </w:p>
        </w:tc>
        <w:tc>
          <w:tcPr>
            <w:tcW w:type="dxa" w:w="1474"/>
            <w:shd w:val="clear" w:color="auto" w:fill="FFEB9C"/>
          </w:tcPr>
          <w:p>
            <w:r/>
            <w:r>
              <w:rPr>
                <w:sz w:val="17"/>
              </w:rPr>
              <w:t>Watch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Fixed Asset Turnover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3.05x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3.21x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≥ 2.00x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7"/>
              </w:rPr>
              <w:t>Satisfactory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Debtor Days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58 d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78 d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≤ 60 d</w:t>
            </w:r>
          </w:p>
        </w:tc>
        <w:tc>
          <w:tcPr>
            <w:tcW w:type="dxa" w:w="1474"/>
            <w:shd w:val="clear" w:color="auto" w:fill="FFEB9C"/>
          </w:tcPr>
          <w:p>
            <w:r/>
            <w:r>
              <w:rPr>
                <w:sz w:val="17"/>
              </w:rPr>
              <w:t>Watch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Inventory Days (on COGS)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84 d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91 d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≤ 60 d</w:t>
            </w:r>
          </w:p>
        </w:tc>
        <w:tc>
          <w:tcPr>
            <w:tcW w:type="dxa" w:w="1474"/>
            <w:shd w:val="clear" w:color="auto" w:fill="FFEB9C"/>
          </w:tcPr>
          <w:p>
            <w:r/>
            <w:r>
              <w:rPr>
                <w:sz w:val="17"/>
              </w:rPr>
              <w:t>Watch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Creditor Days (on COGS)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88 d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91 d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Cash Conversion Cycle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54 d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78 d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≤ 60 d</w:t>
            </w:r>
          </w:p>
        </w:tc>
        <w:tc>
          <w:tcPr>
            <w:tcW w:type="dxa" w:w="1474"/>
            <w:shd w:val="clear" w:color="auto" w:fill="FFEB9C"/>
          </w:tcPr>
          <w:p>
            <w:r/>
            <w:r>
              <w:rPr>
                <w:sz w:val="17"/>
              </w:rPr>
              <w:t>Watch</w:t>
            </w:r>
          </w:p>
        </w:tc>
      </w:tr>
    </w:tbl>
    <w:p>
      <w:pPr>
        <w:pStyle w:val="Heading2"/>
      </w:pPr>
      <w:r>
        <w:t>4.6 Cash Flow Quality</w:t>
      </w:r>
    </w:p>
    <w:p>
      <w:pPr>
        <w:spacing w:after="120"/>
        <w:jc w:val="both"/>
      </w:pPr>
      <w:r>
        <w:rPr>
          <w:b w:val="0"/>
          <w:i w:val="0"/>
          <w:sz w:val="21"/>
        </w:rPr>
        <w:t>Cash conversion: CFO/EBITDA 0.15x, CFO/PAT 0.32x, free cash flow (₹13.00 Cr).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247"/>
        <w:gridCol w:w="1247"/>
        <w:gridCol w:w="1361"/>
        <w:gridCol w:w="1474"/>
      </w:tblGrid>
      <w:tr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Ratio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FY2025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Benchmark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CFO / EBITDA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0.58x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0.15x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≥ 0.70x</w:t>
            </w:r>
          </w:p>
        </w:tc>
        <w:tc>
          <w:tcPr>
            <w:tcW w:type="dxa" w:w="1474"/>
            <w:shd w:val="clear" w:color="auto" w:fill="FFC7CE"/>
          </w:tcPr>
          <w:p>
            <w:r/>
            <w:r>
              <w:rPr>
                <w:sz w:val="17"/>
              </w:rPr>
              <w:t>Weak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CFO / PAT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1.17x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0.32x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≥ 1.00x</w:t>
            </w:r>
          </w:p>
        </w:tc>
        <w:tc>
          <w:tcPr>
            <w:tcW w:type="dxa" w:w="1474"/>
            <w:shd w:val="clear" w:color="auto" w:fill="FFC7CE"/>
          </w:tcPr>
          <w:p>
            <w:r/>
            <w:r>
              <w:rPr>
                <w:sz w:val="17"/>
              </w:rPr>
              <w:t>Weak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Free Cash Flow (Cr)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80.00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-13.00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≥ 0.00</w:t>
            </w:r>
          </w:p>
        </w:tc>
        <w:tc>
          <w:tcPr>
            <w:tcW w:type="dxa" w:w="1474"/>
            <w:shd w:val="clear" w:color="auto" w:fill="FFC7CE"/>
          </w:tcPr>
          <w:p>
            <w:r/>
            <w:r>
              <w:rPr>
                <w:sz w:val="17"/>
              </w:rPr>
              <w:t>Weak</w:t>
            </w:r>
          </w:p>
        </w:tc>
      </w:tr>
    </w:tbl>
    <w:p>
      <w:pPr>
        <w:pStyle w:val="Heading2"/>
      </w:pPr>
      <w:r>
        <w:t>4.7 Earnings Quality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247"/>
        <w:gridCol w:w="1247"/>
        <w:gridCol w:w="1361"/>
        <w:gridCol w:w="1474"/>
      </w:tblGrid>
      <w:tr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Ratio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FY2025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Benchmark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Other Income / PBT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8.7%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12.2%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≤ 15.0%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7"/>
              </w:rPr>
              <w:t>Satisfactory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Effective Tax Rate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25.4%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25.0%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18.0%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7"/>
              </w:rPr>
              <w:t>Satisfactory</w:t>
            </w:r>
          </w:p>
        </w:tc>
      </w:tr>
    </w:tbl>
    <w:p>
      <w:pPr>
        <w:pStyle w:val="Heading2"/>
      </w:pPr>
      <w:r>
        <w:t>4.8 Forensic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247"/>
        <w:gridCol w:w="1247"/>
        <w:gridCol w:w="1361"/>
        <w:gridCol w:w="1474"/>
      </w:tblGrid>
      <w:tr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Ratio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FY2025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Benchmark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Implied Cost of Debt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10.2%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9.0%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6.0%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7"/>
              </w:rPr>
              <w:t>Satisfactory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Loans &amp; Advances / Net Worth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5.8%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23.4%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≤ 10.0%</w:t>
            </w:r>
          </w:p>
        </w:tc>
        <w:tc>
          <w:tcPr>
            <w:tcW w:type="dxa" w:w="1474"/>
            <w:shd w:val="clear" w:color="auto" w:fill="FFEB9C"/>
          </w:tcPr>
          <w:p>
            <w:r/>
            <w:r>
              <w:rPr>
                <w:sz w:val="17"/>
              </w:rPr>
              <w:t>Watch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Non-current Investments / Net Worth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16.3%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23.4%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≤ 25.0%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7"/>
              </w:rPr>
              <w:t>Satisfactory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Contingent Liabilities / Net Worth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0.0%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0.0%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≤ 25.0%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7"/>
              </w:rPr>
              <w:t>Satisfactory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CWIP / Net Block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22.0%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22.6%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≤ 20.0%</w:t>
            </w:r>
          </w:p>
        </w:tc>
        <w:tc>
          <w:tcPr>
            <w:tcW w:type="dxa" w:w="1474"/>
            <w:shd w:val="clear" w:color="auto" w:fill="FFEB9C"/>
          </w:tcPr>
          <w:p>
            <w:r/>
            <w:r>
              <w:rPr>
                <w:sz w:val="17"/>
              </w:rPr>
              <w:t>Watch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Receivable growth minus Revenue growth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n.a.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37.0%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≤ 10.0%</w:t>
            </w:r>
          </w:p>
        </w:tc>
        <w:tc>
          <w:tcPr>
            <w:tcW w:type="dxa" w:w="1474"/>
            <w:shd w:val="clear" w:color="auto" w:fill="FFC7CE"/>
          </w:tcPr>
          <w:p>
            <w:r/>
            <w:r>
              <w:rPr>
                <w:sz w:val="17"/>
              </w:rPr>
              <w:t>Weak</w:t>
            </w:r>
          </w:p>
        </w:tc>
      </w:tr>
    </w:tbl>
    <w:p>
      <w:pPr>
        <w:pStyle w:val="Heading2"/>
      </w:pPr>
      <w:r>
        <w:t>4.9 Growth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247"/>
        <w:gridCol w:w="1247"/>
        <w:gridCol w:w="1361"/>
        <w:gridCol w:w="1474"/>
      </w:tblGrid>
      <w:tr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Ratio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FY2025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Benchmark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Revenue Growth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n.a.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8.0%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≥ 10.0%</w:t>
            </w:r>
          </w:p>
        </w:tc>
        <w:tc>
          <w:tcPr>
            <w:tcW w:type="dxa" w:w="1474"/>
            <w:shd w:val="clear" w:color="auto" w:fill="FFEB9C"/>
          </w:tcPr>
          <w:p>
            <w:r/>
            <w:r>
              <w:rPr>
                <w:sz w:val="17"/>
              </w:rPr>
              <w:t>Watch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EBITDA Growth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n.a.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11.1%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≥ 10.0%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7"/>
              </w:rPr>
              <w:t>Satisfactory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PAT Growth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n.a.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7.8%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≥ 10.0%</w:t>
            </w:r>
          </w:p>
        </w:tc>
        <w:tc>
          <w:tcPr>
            <w:tcW w:type="dxa" w:w="1474"/>
            <w:shd w:val="clear" w:color="auto" w:fill="FFEB9C"/>
          </w:tcPr>
          <w:p>
            <w:r/>
            <w:r>
              <w:rPr>
                <w:sz w:val="17"/>
              </w:rPr>
              <w:t>Watch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Debt Growth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n.a.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56.5%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-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-</w:t>
            </w:r>
          </w:p>
        </w:tc>
      </w:tr>
    </w:tbl>
    <w:p>
      <w:pPr>
        <w:pStyle w:val="Heading2"/>
      </w:pPr>
      <w:r>
        <w:t>4.10 Distress Scores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948"/>
        <w:gridCol w:w="1247"/>
        <w:gridCol w:w="1247"/>
        <w:gridCol w:w="1361"/>
        <w:gridCol w:w="1474"/>
      </w:tblGrid>
      <w:tr>
        <w:tc>
          <w:tcPr>
            <w:tcW w:type="dxa" w:w="294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Ratio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124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FY2025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Benchmark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Assessment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7"/>
              </w:rPr>
              <w:t>Altman Z'' (emerging-market)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3.34x</w:t>
            </w:r>
          </w:p>
        </w:tc>
        <w:tc>
          <w:tcPr>
            <w:tcW w:type="dxa" w:w="1247"/>
          </w:tcPr>
          <w:p>
            <w:pPr>
              <w:jc w:val="right"/>
            </w:pPr>
            <w:r/>
            <w:r>
              <w:rPr>
                <w:sz w:val="17"/>
              </w:rPr>
              <w:t>2.85x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≥ 2.60x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7"/>
              </w:rPr>
              <w:t>Satisfactory</w:t>
            </w:r>
          </w:p>
        </w:tc>
      </w:tr>
    </w:tbl>
    <w:p>
      <w:pPr>
        <w:pStyle w:val="Heading2"/>
      </w:pPr>
      <w:r>
        <w:t>4.11 Return on equity decomposition (DuPont) and earnings quality</w:t>
      </w:r>
    </w:p>
    <w:p>
      <w:pPr>
        <w:spacing w:after="120"/>
        <w:jc w:val="both"/>
      </w:pPr>
      <w:r>
        <w:rPr>
          <w:b w:val="0"/>
          <w:i w:val="0"/>
          <w:sz w:val="21"/>
        </w:rPr>
        <w:t>Return on equity moved from 24.0% in FY2024 to 23.6% in FY2025. The largest driver was financial leverage (higher). Lower returns reduce internal accruals available to support the balance sheet and repay debt.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DuPont component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Tax burden (PAT / PBT)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0.75x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0.75x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Interest burden (PBT / EBIT)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0.75x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0.70x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Operating margin (EBIT / revenue)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14.6%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15.6%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Asset turnover (revenue / assets)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1.09x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0.92x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Equity multiplier (assets / equity)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2.68x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3.13x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Return on equity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24.0%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23.6%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Earnings-quality indicator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FY2025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Accrual ratio ((PAT - CFO) / avg. assets)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-1.5%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5.8%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CFO / PAT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1.17x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0.32x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Net working capital / revenue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15.2%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21.5%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Other income / PBT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8.7%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12.2%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7"/>
              </w:rPr>
              <w:t>Exceptional items / PBT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0.0%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7"/>
              </w:rPr>
              <w:t>0.0%</w:t>
            </w:r>
          </w:p>
        </w:tc>
      </w:tr>
    </w:tbl>
    <w:p>
      <w:pPr>
        <w:spacing w:after="160"/>
      </w:pPr>
      <w:r>
        <w:rPr>
          <w:b w:val="0"/>
          <w:i/>
          <w:color w:val="595959"/>
          <w:sz w:val="17"/>
        </w:rPr>
        <w:t>A high positive accrual ratio (profits not backed by cash) and a rising share of other or exceptional income are classic indicators of low-quality or managed earnings.</w:t>
      </w:r>
    </w:p>
    <w:p>
      <w:pPr>
        <w:pStyle w:val="Heading1"/>
      </w:pPr>
      <w:r>
        <w:t>5. Working Capital Assessment and Bank Finance</w:t>
      </w:r>
    </w:p>
    <w:p>
      <w:pPr>
        <w:spacing w:after="120"/>
        <w:jc w:val="both"/>
      </w:pPr>
      <w:r>
        <w:rPr>
          <w:b w:val="0"/>
          <w:i w:val="0"/>
          <w:sz w:val="21"/>
        </w:rPr>
        <w:t>The operating cycle comprises debtor days of 78 days, inventory days of 91 days and creditor days of 91 days, giving a cash conversion cycle of 78 days. Current ratio is 1.18x against the bank benchmark of 1.33x and net working capital is ₹105.00 Cr.</w:t>
      </w:r>
    </w:p>
    <w:p>
      <w:pPr>
        <w:spacing w:after="120"/>
        <w:jc w:val="both"/>
      </w:pPr>
      <w:r>
        <w:rPr>
          <w:b w:val="0"/>
          <w:i w:val="0"/>
          <w:sz w:val="21"/>
        </w:rPr>
        <w:t>Debtor days moved from 58 days to 78 days, a material stretch in collections.</w:t>
      </w:r>
    </w:p>
    <w:p>
      <w:pPr>
        <w:spacing w:after="120"/>
        <w:jc w:val="both"/>
      </w:pPr>
      <w:r>
        <w:rPr>
          <w:b w:val="0"/>
          <w:i w:val="0"/>
          <w:sz w:val="21"/>
        </w:rPr>
        <w:t>On the Tandon Committee Method II, the maximum permissible bank finance works out to ₹233.00 Cr against existing short-term bank borrowings of ₹300.00 Cr, an excess of ₹67.00 Cr over MPBF that requires justification.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803"/>
        <w:gridCol w:w="2835"/>
      </w:tblGrid>
      <w:tr>
        <w:tc>
          <w:tcPr>
            <w:tcW w:type="dxa" w:w="6803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Assessment of maximum permissible bank finance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₹ Cr</w:t>
            </w:r>
          </w:p>
        </w:tc>
      </w:tr>
      <w:tr>
        <w:tc>
          <w:tcPr>
            <w:tcW w:type="dxa" w:w="6803"/>
          </w:tcPr>
          <w:p>
            <w:r/>
            <w:r>
              <w:rPr>
                <w:sz w:val="18"/>
              </w:rPr>
              <w:t>Total current assets (A)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₹688.00 Cr</w:t>
            </w:r>
          </w:p>
        </w:tc>
      </w:tr>
      <w:tr>
        <w:tc>
          <w:tcPr>
            <w:tcW w:type="dxa" w:w="6803"/>
          </w:tcPr>
          <w:p>
            <w:r/>
            <w:r>
              <w:rPr>
                <w:sz w:val="18"/>
              </w:rPr>
              <w:t>Other current liabilities excl. bank borrowings (B)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₹283.00 Cr</w:t>
            </w:r>
          </w:p>
        </w:tc>
      </w:tr>
      <w:tr>
        <w:tc>
          <w:tcPr>
            <w:tcW w:type="dxa" w:w="6803"/>
          </w:tcPr>
          <w:p>
            <w:r/>
            <w:r>
              <w:rPr>
                <w:sz w:val="18"/>
              </w:rPr>
              <w:t>Working-capital gap (A - B)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₹405.00 Cr</w:t>
            </w:r>
          </w:p>
        </w:tc>
      </w:tr>
      <w:tr>
        <w:tc>
          <w:tcPr>
            <w:tcW w:type="dxa" w:w="6803"/>
          </w:tcPr>
          <w:p>
            <w:r/>
            <w:r>
              <w:rPr>
                <w:sz w:val="18"/>
              </w:rPr>
              <w:t>Minimum margin: 25% of current assets (C)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₹172.00 Cr</w:t>
            </w:r>
          </w:p>
        </w:tc>
      </w:tr>
      <w:tr>
        <w:tc>
          <w:tcPr>
            <w:tcW w:type="dxa" w:w="6803"/>
          </w:tcPr>
          <w:p>
            <w:r/>
            <w:r>
              <w:rPr>
                <w:sz w:val="18"/>
              </w:rPr>
              <w:t>MPBF - Method II (A x 75% - B)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₹233.00 Cr</w:t>
            </w:r>
          </w:p>
        </w:tc>
      </w:tr>
      <w:tr>
        <w:tc>
          <w:tcPr>
            <w:tcW w:type="dxa" w:w="6803"/>
          </w:tcPr>
          <w:p>
            <w:r/>
            <w:r>
              <w:rPr>
                <w:sz w:val="18"/>
              </w:rPr>
              <w:t>Existing short-term bank borrowings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₹300.00 Cr</w:t>
            </w:r>
          </w:p>
        </w:tc>
      </w:tr>
      <w:tr>
        <w:tc>
          <w:tcPr>
            <w:tcW w:type="dxa" w:w="6803"/>
          </w:tcPr>
          <w:p>
            <w:r/>
            <w:r>
              <w:rPr>
                <w:sz w:val="18"/>
              </w:rPr>
              <w:t>Headroom / (excess) over MPBF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8"/>
              </w:rPr>
              <w:t>(₹67.00 Cr)</w:t>
            </w:r>
          </w:p>
        </w:tc>
      </w:tr>
      <w:tr>
        <w:tc>
          <w:tcPr>
            <w:tcW w:type="dxa" w:w="6803"/>
          </w:tcPr>
          <w:p>
            <w:r/>
            <w:r>
              <w:rPr>
                <w:sz w:val="18"/>
              </w:rPr>
              <w:t>Net working capital (actual)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₹105.00 Cr</w:t>
            </w:r>
          </w:p>
        </w:tc>
      </w:tr>
    </w:tbl>
    <w:p>
      <w:pPr>
        <w:pStyle w:val="Heading2"/>
      </w:pPr>
      <w:r>
        <w:t>5.1 Comparison of assessment methods</w:t>
      </w:r>
    </w:p>
    <w:p>
      <w:pPr>
        <w:spacing w:after="120"/>
        <w:jc w:val="both"/>
      </w:pPr>
      <w:r>
        <w:rPr>
          <w:b w:val="0"/>
          <w:i w:val="0"/>
          <w:sz w:val="21"/>
        </w:rPr>
        <w:t>Working-capital requirement has been assessed under the Tandon Committee methods and the turnover (Nayak Committee) method on projected turnover of ₹1,458.00 Cr (growth assumed 8.0%). The requested / existing working-capital limit of ₹60.00 Cr compares with an assessed eligibility of ₹233.00 Cr, leaving headroom of ₹173.00 Cr.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685"/>
        <w:gridCol w:w="1928"/>
        <w:gridCol w:w="1928"/>
        <w:gridCol w:w="2098"/>
      </w:tblGrid>
      <w:tr>
        <w:tc>
          <w:tcPr>
            <w:tcW w:type="dxa" w:w="3685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Particulars (₹ Cr)</w:t>
            </w:r>
          </w:p>
        </w:tc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Tandon Method I</w:t>
            </w:r>
          </w:p>
        </w:tc>
        <w:tc>
          <w:tcPr>
            <w:tcW w:type="dxa" w:w="192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Tandon Method II</w:t>
            </w:r>
          </w:p>
        </w:tc>
        <w:tc>
          <w:tcPr>
            <w:tcW w:type="dxa" w:w="209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Turnover method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Total current assets (A)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7"/>
              </w:rPr>
              <w:t>688.00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7"/>
              </w:rPr>
              <w:t>688.00</w:t>
            </w:r>
          </w:p>
        </w:tc>
        <w:tc>
          <w:tcPr>
            <w:tcW w:type="dxa" w:w="2098"/>
          </w:tcPr>
          <w:p>
            <w:pPr>
              <w:jc w:val="right"/>
            </w:pPr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Other current liabilities excl. bank borrowings (B)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7"/>
              </w:rPr>
              <w:t>283.00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7"/>
              </w:rPr>
              <w:t>283.00</w:t>
            </w:r>
          </w:p>
        </w:tc>
        <w:tc>
          <w:tcPr>
            <w:tcW w:type="dxa" w:w="2098"/>
          </w:tcPr>
          <w:p>
            <w:pPr>
              <w:jc w:val="right"/>
            </w:pPr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Working-capital gap (A - B)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7"/>
              </w:rPr>
              <w:t>405.00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7"/>
              </w:rPr>
              <w:t>405.00</w:t>
            </w:r>
          </w:p>
        </w:tc>
        <w:tc>
          <w:tcPr>
            <w:tcW w:type="dxa" w:w="2098"/>
          </w:tcPr>
          <w:p>
            <w:pPr>
              <w:jc w:val="right"/>
            </w:pPr>
            <w:r/>
            <w:r>
              <w:rPr>
                <w:sz w:val="17"/>
              </w:rPr>
              <w:t>364.50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Minimum borrower margin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7"/>
              </w:rPr>
              <w:t>101.25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7"/>
              </w:rPr>
              <w:t>172.00</w:t>
            </w:r>
          </w:p>
        </w:tc>
        <w:tc>
          <w:tcPr>
            <w:tcW w:type="dxa" w:w="2098"/>
          </w:tcPr>
          <w:p>
            <w:pPr>
              <w:jc w:val="right"/>
            </w:pPr>
            <w:r/>
            <w:r>
              <w:rPr>
                <w:sz w:val="17"/>
              </w:rPr>
              <w:t>72.90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7"/>
              </w:rPr>
              <w:t>Maximum permissible bank finance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7"/>
              </w:rPr>
              <w:t>303.75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7"/>
              </w:rPr>
              <w:t>233.00</w:t>
            </w:r>
          </w:p>
        </w:tc>
        <w:tc>
          <w:tcPr>
            <w:tcW w:type="dxa" w:w="2098"/>
          </w:tcPr>
          <w:p>
            <w:pPr>
              <w:jc w:val="right"/>
            </w:pPr>
            <w:r/>
            <w:r>
              <w:rPr>
                <w:sz w:val="17"/>
              </w:rPr>
              <w:t>291.60</w:t>
            </w:r>
          </w:p>
        </w:tc>
      </w:tr>
    </w:tbl>
    <w:p>
      <w:pPr>
        <w:spacing w:after="160"/>
      </w:pPr>
      <w:r>
        <w:rPr>
          <w:b w:val="0"/>
          <w:i/>
          <w:color w:val="595959"/>
          <w:sz w:val="17"/>
        </w:rPr>
        <w:t>Turnover method: working capital at 25% of projected turnover, of which 20% bank finance and 5% borrower margin (RBI guidance for MSE borrowers up to ₹5 Cr; many banks apply it more widely).</w:t>
      </w:r>
    </w:p>
    <w:p>
      <w:pPr>
        <w:pStyle w:val="Heading2"/>
      </w:pPr>
      <w:r>
        <w:t>5.2 Drawing power (from latest balance sheet)</w:t>
      </w:r>
    </w:p>
    <w:p>
      <w:pPr>
        <w:spacing w:after="120"/>
        <w:jc w:val="both"/>
      </w:pPr>
      <w:r>
        <w:rPr>
          <w:b w:val="0"/>
          <w:i w:val="0"/>
          <w:sz w:val="21"/>
        </w:rPr>
        <w:t>Drawing power on the year-end stock and receivables works out to ₹147.90 Cr against a limit of ₹60.00 Cr; the limit is fully covered by drawing power. Drawing power must be recomputed monthly from the stock and book-debt statement.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6"/>
        <w:gridCol w:w="2835"/>
      </w:tblGrid>
      <w:tr>
        <w:tc>
          <w:tcPr>
            <w:tcW w:type="dxa" w:w="623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Drawing-power computation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₹ Cr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Inventory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210.00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Less: trade creditors (unpaid stock)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210.00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Paid stock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0.00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Less: margin 25%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0.00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DP on stock (a)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0.00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Trade receivables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290.00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Eligible receivables (&lt; 90 days, assumed 85%)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246.50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Less: margin 40%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98.60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DP on receivables (b)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147.90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Drawing power (a + b)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147.90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Sanctioned / proposed CC limit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60.00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Available DP = lower of DP and limit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60.00</w:t>
            </w:r>
          </w:p>
        </w:tc>
      </w:tr>
    </w:tbl>
    <w:p>
      <w:pPr>
        <w:pStyle w:val="Heading1"/>
      </w:pPr>
      <w:r>
        <w:t>6. Repayment Capacity, Projections and Stress Test</w:t>
      </w:r>
    </w:p>
    <w:p>
      <w:pPr>
        <w:pStyle w:val="Heading2"/>
      </w:pPr>
      <w:r>
        <w:t>6.1 Proposed term loan and repayment schedule</w:t>
      </w:r>
    </w:p>
    <w:p>
      <w:pPr>
        <w:spacing w:after="120"/>
        <w:jc w:val="both"/>
      </w:pPr>
      <w:r>
        <w:rPr>
          <w:b w:val="0"/>
          <w:i w:val="0"/>
          <w:sz w:val="21"/>
        </w:rPr>
        <w:t>Term loan of ₹40.00 Cr over 5 years including a moratorium of 6 months, repayable in 18 equal quarterly instalments of ₹2.222 Cr, with interest at 9.75% serviced as applied.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2041"/>
        <w:gridCol w:w="2041"/>
        <w:gridCol w:w="2041"/>
        <w:gridCol w:w="2098"/>
      </w:tblGrid>
      <w:tr>
        <w:tc>
          <w:tcPr>
            <w:tcW w:type="dxa" w:w="1417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Year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Opening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Interest</w:t>
            </w:r>
          </w:p>
        </w:tc>
        <w:tc>
          <w:tcPr>
            <w:tcW w:type="dxa" w:w="2041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Principal</w:t>
            </w:r>
          </w:p>
        </w:tc>
        <w:tc>
          <w:tcPr>
            <w:tcW w:type="dxa" w:w="209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Closing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Y+1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7"/>
              </w:rPr>
              <w:t>40.00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7"/>
              </w:rPr>
              <w:t>3.85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7"/>
              </w:rPr>
              <w:t>4.44</w:t>
            </w:r>
          </w:p>
        </w:tc>
        <w:tc>
          <w:tcPr>
            <w:tcW w:type="dxa" w:w="2098"/>
          </w:tcPr>
          <w:p>
            <w:pPr>
              <w:jc w:val="right"/>
            </w:pPr>
            <w:r/>
            <w:r>
              <w:rPr>
                <w:sz w:val="17"/>
              </w:rPr>
              <w:t>35.56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Y+2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7"/>
              </w:rPr>
              <w:t>35.56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7"/>
              </w:rPr>
              <w:t>3.14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7"/>
              </w:rPr>
              <w:t>8.89</w:t>
            </w:r>
          </w:p>
        </w:tc>
        <w:tc>
          <w:tcPr>
            <w:tcW w:type="dxa" w:w="2098"/>
          </w:tcPr>
          <w:p>
            <w:pPr>
              <w:jc w:val="right"/>
            </w:pPr>
            <w:r/>
            <w:r>
              <w:rPr>
                <w:sz w:val="17"/>
              </w:rPr>
              <w:t>26.67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Y+3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7"/>
              </w:rPr>
              <w:t>26.67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7"/>
              </w:rPr>
              <w:t>2.28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7"/>
              </w:rPr>
              <w:t>8.89</w:t>
            </w:r>
          </w:p>
        </w:tc>
        <w:tc>
          <w:tcPr>
            <w:tcW w:type="dxa" w:w="2098"/>
          </w:tcPr>
          <w:p>
            <w:pPr>
              <w:jc w:val="right"/>
            </w:pPr>
            <w:r/>
            <w:r>
              <w:rPr>
                <w:sz w:val="17"/>
              </w:rPr>
              <w:t>17.78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Y+4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7"/>
              </w:rPr>
              <w:t>17.78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7"/>
              </w:rPr>
              <w:t>1.41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7"/>
              </w:rPr>
              <w:t>8.89</w:t>
            </w:r>
          </w:p>
        </w:tc>
        <w:tc>
          <w:tcPr>
            <w:tcW w:type="dxa" w:w="2098"/>
          </w:tcPr>
          <w:p>
            <w:pPr>
              <w:jc w:val="right"/>
            </w:pPr>
            <w:r/>
            <w:r>
              <w:rPr>
                <w:sz w:val="17"/>
              </w:rPr>
              <w:t>8.89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17"/>
              </w:rPr>
              <w:t>Y+5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7"/>
              </w:rPr>
              <w:t>8.89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7"/>
              </w:rPr>
              <w:t>0.54</w:t>
            </w:r>
          </w:p>
        </w:tc>
        <w:tc>
          <w:tcPr>
            <w:tcW w:type="dxa" w:w="2041"/>
          </w:tcPr>
          <w:p>
            <w:pPr>
              <w:jc w:val="right"/>
            </w:pPr>
            <w:r/>
            <w:r>
              <w:rPr>
                <w:sz w:val="17"/>
              </w:rPr>
              <w:t>8.89</w:t>
            </w:r>
          </w:p>
        </w:tc>
        <w:tc>
          <w:tcPr>
            <w:tcW w:type="dxa" w:w="2098"/>
          </w:tcPr>
          <w:p>
            <w:pPr>
              <w:jc w:val="right"/>
            </w:pPr>
            <w:r/>
            <w:r>
              <w:rPr>
                <w:sz w:val="17"/>
              </w:rPr>
              <w:t>0.00</w:t>
            </w:r>
          </w:p>
        </w:tc>
      </w:tr>
    </w:tbl>
    <w:p>
      <w:pPr>
        <w:pStyle w:val="Heading2"/>
      </w:pPr>
      <w:r>
        <w:t>6.2 Projected financials and debt-service coverage</w:t>
      </w:r>
    </w:p>
    <w:p>
      <w:pPr>
        <w:spacing w:after="120"/>
        <w:jc w:val="both"/>
      </w:pPr>
      <w:r>
        <w:rPr>
          <w:b w:val="0"/>
          <w:i w:val="0"/>
          <w:sz w:val="21"/>
        </w:rPr>
        <w:t>Projections assume revenue growth of 8.0% a year, an EBITDA margin of 17.0%, existing term debt of ₹380.00 Cr running off over 4 years at 9.0%, and working-capital borrowings of ₹360.00 Cr at 9.5%. Tax is provided at 25.17%.</w:t>
      </w:r>
    </w:p>
    <w:p>
      <w:pPr>
        <w:spacing w:after="120"/>
        <w:jc w:val="both"/>
      </w:pPr>
      <w:r>
        <w:rPr>
          <w:b w:val="0"/>
          <w:i w:val="0"/>
          <w:sz w:val="21"/>
        </w:rPr>
        <w:t>On these assumptions the average DSCR over the projection period is 2.21x and the minimum is 1.45x (Y+1). Both are above the usual 1.25x / 1.10x thresholds.</w:t>
      </w:r>
    </w:p>
    <w:p>
      <w:r>
        <w:drawing>
          <wp:inline xmlns:a="http://schemas.openxmlformats.org/drawingml/2006/main" xmlns:pic="http://schemas.openxmlformats.org/drawingml/2006/picture">
            <wp:extent cx="5940000" cy="222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color w:val="595959"/>
          <w:sz w:val="17"/>
        </w:rPr>
        <w:t>Figure - Projected cash available for term-debt service against debt service, with DSCR (dashed line = 1.25x).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Projection (₹ Cr)</w:t>
            </w:r>
          </w:p>
        </w:tc>
        <w:tc>
          <w:tcPr>
            <w:tcW w:type="dxa" w:w="166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Y+1</w:t>
            </w:r>
          </w:p>
        </w:tc>
        <w:tc>
          <w:tcPr>
            <w:tcW w:type="dxa" w:w="166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Y+2</w:t>
            </w:r>
          </w:p>
        </w:tc>
        <w:tc>
          <w:tcPr>
            <w:tcW w:type="dxa" w:w="166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Y+3</w:t>
            </w:r>
          </w:p>
        </w:tc>
        <w:tc>
          <w:tcPr>
            <w:tcW w:type="dxa" w:w="166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Y+4</w:t>
            </w:r>
          </w:p>
        </w:tc>
        <w:tc>
          <w:tcPr>
            <w:tcW w:type="dxa" w:w="1662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Y+5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6"/>
              </w:rPr>
              <w:t>Revenue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1,458.00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1,574.64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1,700.61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1,836.66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1,983.59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6"/>
              </w:rPr>
              <w:t>EBITDA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248.40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268.27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289.73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312.91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337.95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6"/>
              </w:rPr>
              <w:t>EBITDA margin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17.0%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17.0%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17.0%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17.0%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17.0%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6"/>
              </w:rPr>
              <w:t>Depreciation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42.00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42.00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42.00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42.00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42.00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6"/>
              </w:rPr>
              <w:t>Interest (total)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67.92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58.68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49.28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39.88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34.74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6"/>
              </w:rPr>
              <w:t>Profit before tax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156.48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185.59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216.45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249.04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279.20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6"/>
              </w:rPr>
              <w:t>Profit after tax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117.09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138.88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161.97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186.35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208.93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6"/>
              </w:rPr>
              <w:t>Cash accruals (PAT + dep.)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159.09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180.88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203.97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228.35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250.93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6"/>
              </w:rPr>
              <w:t>Term-debt principal due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99.44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103.89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103.89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103.89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8.89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6"/>
              </w:rPr>
              <w:t>Surplus after term repayment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59.65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76.99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100.08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124.46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242.04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6"/>
              </w:rPr>
              <w:t>DSCR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1.45x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1.60x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1.84x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2.14x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26.67x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6"/>
              </w:rPr>
              <w:t>Interest coverage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3.30x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4.16x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5.39x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7.25x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9.04x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6"/>
              </w:rPr>
              <w:t>Net worth (closing)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587.09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725.97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887.94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1,074.30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1,283.22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6"/>
              </w:rPr>
              <w:t>TOL / TNW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1.73x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1.25x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0.90x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0.65x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0.54x</w:t>
            </w:r>
          </w:p>
        </w:tc>
      </w:tr>
      <w:tr>
        <w:tc>
          <w:tcPr>
            <w:tcW w:type="dxa" w:w="1662"/>
          </w:tcPr>
          <w:p>
            <w:r/>
            <w:r>
              <w:rPr>
                <w:sz w:val="16"/>
              </w:rPr>
              <w:t>Debt / EBITDA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2.74x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2.15x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1.63x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1.18x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sz w:val="16"/>
              </w:rPr>
              <w:t>1.07x</w:t>
            </w:r>
          </w:p>
        </w:tc>
      </w:tr>
    </w:tbl>
    <w:p>
      <w:pPr>
        <w:pStyle w:val="Heading2"/>
      </w:pPr>
      <w:r>
        <w:t>6.3 Scenario analysis and break-even</w:t>
      </w:r>
    </w:p>
    <w:p>
      <w:pPr>
        <w:spacing w:after="120"/>
        <w:jc w:val="both"/>
      </w:pPr>
      <w:r>
        <w:rPr>
          <w:b w:val="0"/>
          <w:i w:val="0"/>
          <w:sz w:val="21"/>
        </w:rPr>
        <w:t>Four scenarios flex revenue growth, EBITDA margin and interest rates together over the full projection period. Break-even analysis shows projected EBITDA can fall by about 32% in every year before the minimum DSCR drops below 1.00x.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87"/>
        <w:gridCol w:w="1020"/>
        <w:gridCol w:w="1134"/>
        <w:gridCol w:w="1020"/>
        <w:gridCol w:w="1077"/>
        <w:gridCol w:w="1077"/>
        <w:gridCol w:w="1077"/>
        <w:gridCol w:w="1644"/>
      </w:tblGrid>
      <w:tr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102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Growth</w:t>
            </w:r>
          </w:p>
        </w:tc>
        <w:tc>
          <w:tcPr>
            <w:tcW w:type="dxa" w:w="113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Margin shift</w:t>
            </w:r>
          </w:p>
        </w:tc>
        <w:tc>
          <w:tcPr>
            <w:tcW w:type="dxa" w:w="102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Rate shift</w:t>
            </w:r>
          </w:p>
        </w:tc>
        <w:tc>
          <w:tcPr>
            <w:tcW w:type="dxa" w:w="107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Avg DSCR</w:t>
            </w:r>
          </w:p>
        </w:tc>
        <w:tc>
          <w:tcPr>
            <w:tcW w:type="dxa" w:w="107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Min DSCR</w:t>
            </w:r>
          </w:p>
        </w:tc>
        <w:tc>
          <w:tcPr>
            <w:tcW w:type="dxa" w:w="107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Y+1 ICR</w:t>
            </w:r>
          </w:p>
        </w:tc>
        <w:tc>
          <w:tcPr>
            <w:tcW w:type="dxa" w:w="164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Cum. surplus ₹ Cr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6"/>
              </w:rPr>
              <w:t>Base case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8.0%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+0.0 pp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+0 bp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2.21x</w:t>
            </w:r>
          </w:p>
        </w:tc>
        <w:tc>
          <w:tcPr>
            <w:tcW w:type="dxa" w:w="1077"/>
            <w:shd w:val="clear" w:color="auto" w:fill="C6EFCE"/>
          </w:tcPr>
          <w:p>
            <w:pPr>
              <w:jc w:val="right"/>
            </w:pPr>
            <w:r/>
            <w:r>
              <w:rPr>
                <w:sz w:val="16"/>
              </w:rPr>
              <w:t>1.45x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3.30x</w:t>
            </w:r>
          </w:p>
        </w:tc>
        <w:tc>
          <w:tcPr>
            <w:tcW w:type="dxa" w:w="1644"/>
          </w:tcPr>
          <w:p>
            <w:pPr>
              <w:jc w:val="right"/>
            </w:pPr>
            <w:r/>
            <w:r>
              <w:rPr>
                <w:sz w:val="16"/>
              </w:rPr>
              <w:t>603.22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6"/>
              </w:rPr>
              <w:t>Upside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13.0%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+1.0 pp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+0 bp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2.70x</w:t>
            </w:r>
          </w:p>
        </w:tc>
        <w:tc>
          <w:tcPr>
            <w:tcW w:type="dxa" w:w="1077"/>
            <w:shd w:val="clear" w:color="auto" w:fill="C6EFCE"/>
          </w:tcPr>
          <w:p>
            <w:pPr>
              <w:jc w:val="right"/>
            </w:pPr>
            <w:r/>
            <w:r>
              <w:rPr>
                <w:sz w:val="16"/>
              </w:rPr>
              <w:t>1.60x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3.70x</w:t>
            </w:r>
          </w:p>
        </w:tc>
        <w:tc>
          <w:tcPr>
            <w:tcW w:type="dxa" w:w="1644"/>
          </w:tcPr>
          <w:p>
            <w:pPr>
              <w:jc w:val="right"/>
            </w:pPr>
            <w:r/>
            <w:r>
              <w:rPr>
                <w:sz w:val="16"/>
              </w:rPr>
              <w:t>847.03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6"/>
              </w:rPr>
              <w:t>Downside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-2.0%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-2.0 pp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+100 bp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1.41x</w:t>
            </w:r>
          </w:p>
        </w:tc>
        <w:tc>
          <w:tcPr>
            <w:tcW w:type="dxa" w:w="1077"/>
            <w:shd w:val="clear" w:color="auto" w:fill="C6EFCE"/>
          </w:tcPr>
          <w:p>
            <w:pPr>
              <w:jc w:val="right"/>
            </w:pPr>
            <w:r/>
            <w:r>
              <w:rPr>
                <w:sz w:val="16"/>
              </w:rPr>
              <w:t>1.13x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2.33x</w:t>
            </w:r>
          </w:p>
        </w:tc>
        <w:tc>
          <w:tcPr>
            <w:tcW w:type="dxa" w:w="1644"/>
          </w:tcPr>
          <w:p>
            <w:pPr>
              <w:jc w:val="right"/>
            </w:pPr>
            <w:r/>
            <w:r>
              <w:rPr>
                <w:sz w:val="16"/>
              </w:rPr>
              <w:t>207.89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6"/>
              </w:rPr>
              <w:t>Severe stress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6"/>
              </w:rPr>
              <w:t>-10.0%</w:t>
            </w:r>
          </w:p>
        </w:tc>
        <w:tc>
          <w:tcPr>
            <w:tcW w:type="dxa" w:w="1134"/>
          </w:tcPr>
          <w:p>
            <w:pPr>
              <w:jc w:val="right"/>
            </w:pPr>
            <w:r/>
            <w:r>
              <w:rPr>
                <w:sz w:val="16"/>
              </w:rPr>
              <w:t>-4.0 pp</w:t>
            </w:r>
          </w:p>
        </w:tc>
        <w:tc>
          <w:tcPr>
            <w:tcW w:type="dxa" w:w="1020"/>
          </w:tcPr>
          <w:p>
            <w:r/>
            <w:r>
              <w:rPr>
                <w:sz w:val="16"/>
              </w:rPr>
              <w:t>+200 bp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0.92x</w:t>
            </w:r>
          </w:p>
        </w:tc>
        <w:tc>
          <w:tcPr>
            <w:tcW w:type="dxa" w:w="1077"/>
            <w:shd w:val="clear" w:color="auto" w:fill="FFC7CE"/>
          </w:tcPr>
          <w:p>
            <w:pPr>
              <w:jc w:val="right"/>
            </w:pPr>
            <w:r/>
            <w:r>
              <w:rPr>
                <w:sz w:val="16"/>
              </w:rPr>
              <w:t>0.73x</w:t>
            </w:r>
          </w:p>
        </w:tc>
        <w:tc>
          <w:tcPr>
            <w:tcW w:type="dxa" w:w="1077"/>
          </w:tcPr>
          <w:p>
            <w:pPr>
              <w:jc w:val="right"/>
            </w:pPr>
            <w:r/>
            <w:r>
              <w:rPr>
                <w:sz w:val="16"/>
              </w:rPr>
              <w:t>1.63x</w:t>
            </w:r>
          </w:p>
        </w:tc>
        <w:tc>
          <w:tcPr>
            <w:tcW w:type="dxa" w:w="1644"/>
          </w:tcPr>
          <w:p>
            <w:pPr>
              <w:jc w:val="right"/>
            </w:pPr>
            <w:r/>
            <w:r>
              <w:rPr>
                <w:sz w:val="16"/>
              </w:rPr>
              <w:t>(41.89)</w:t>
            </w:r>
          </w:p>
        </w:tc>
      </w:tr>
    </w:tbl>
    <w:p>
      <w:pPr>
        <w:pStyle w:val="Heading2"/>
      </w:pPr>
      <w:r>
        <w:t>6.4 Stress test on latest audited year</w:t>
      </w:r>
    </w:p>
    <w:p>
      <w:pPr>
        <w:spacing w:after="120"/>
        <w:jc w:val="both"/>
      </w:pPr>
      <w:r>
        <w:rPr>
          <w:b w:val="0"/>
          <w:i w:val="0"/>
          <w:sz w:val="21"/>
        </w:rPr>
        <w:t>The latest year's earnings were stressed for a 20% fall in EBITDA and a 200 basis point rise in the cost of funded debt, individually and together, holding other items constant (tax at 25.17%). Under the combined scenario interest coverage falls to 2.16x.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268"/>
        <w:gridCol w:w="2268"/>
        <w:gridCol w:w="2268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Interest coverage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DSCR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Debt / EBITDA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Base case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3.39x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3.40x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3.00x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EBITDA -20%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2.65x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2.84x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3.75x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Interest +200 bp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2.77x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2.83x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3.00x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Combined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2.16x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2.37x</w:t>
            </w:r>
          </w:p>
        </w:tc>
        <w:tc>
          <w:tcPr>
            <w:tcW w:type="dxa" w:w="2268"/>
          </w:tcPr>
          <w:p>
            <w:pPr>
              <w:jc w:val="right"/>
            </w:pPr>
            <w:r/>
            <w:r>
              <w:rPr>
                <w:sz w:val="18"/>
              </w:rPr>
              <w:t>3.75x</w:t>
            </w:r>
          </w:p>
        </w:tc>
      </w:tr>
    </w:tbl>
    <w:p>
      <w:pPr>
        <w:pStyle w:val="Heading2"/>
      </w:pPr>
      <w:r>
        <w:t>6.5 Next-year liquidity check</w:t>
      </w:r>
    </w:p>
    <w:p>
      <w:pPr>
        <w:spacing w:after="120"/>
        <w:jc w:val="both"/>
      </w:pPr>
      <w:r>
        <w:rPr>
          <w:b w:val="0"/>
          <w:i w:val="0"/>
          <w:sz w:val="21"/>
        </w:rPr>
        <w:t>Base case: operating cash flow and liquid funds cover the debt service due in the next year. Assumptions: revenue grows at the latest year's rate (capped at 25%), EBITDA margin and working-capital days are held constant, tax at 25.17%.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69"/>
        <w:gridCol w:w="3402"/>
      </w:tblGrid>
      <w:tr>
        <w:tc>
          <w:tcPr>
            <w:tcW w:type="dxa" w:w="5669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Projection item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₹ Cr / %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8"/>
              </w:rPr>
              <w:t>Revenue growth assumed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8"/>
              </w:rPr>
              <w:t>8.0%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8"/>
              </w:rPr>
              <w:t>Revenue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₹1,458.00 Cr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8"/>
              </w:rPr>
              <w:t>EBITDA (margin held)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₹248.40 Cr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8"/>
              </w:rPr>
              <w:t>PAT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₹124.52 Cr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8"/>
              </w:rPr>
              <w:t>Working-capital build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₹23.20 Cr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8"/>
              </w:rPr>
              <w:t>Operating cash flow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₹139.32 Cr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8"/>
              </w:rPr>
              <w:t>Debt service due (interest + maturities)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₹62.00 Cr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8"/>
              </w:rPr>
              <w:t>Opening liquid funds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₹120.00 Cr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8"/>
              </w:rPr>
              <w:t>Liquidity after debt service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₹197.32 Cr</w:t>
            </w:r>
          </w:p>
        </w:tc>
      </w:tr>
    </w:tbl>
    <w:p>
      <w:pPr>
        <w:pStyle w:val="Heading1"/>
      </w:pPr>
      <w:r>
        <w:t>7. Forensic Accounting Review</w:t>
      </w:r>
    </w:p>
    <w:p>
      <w:pPr>
        <w:spacing w:after="120"/>
        <w:jc w:val="both"/>
      </w:pPr>
      <w:r>
        <w:rPr>
          <w:b w:val="0"/>
          <w:i w:val="0"/>
          <w:sz w:val="21"/>
        </w:rPr>
        <w:t>The forensic review tests for earnings manipulation, diversion of funds and undisclosed liabilities. It combines statistical models (Beneish M-score, Piotroski F-score, Altman Z''), fund-flow and end-use tests, working-capital anomalies, cash-yield and cost-of-debt tests, and a review of the auditor's report, CARO annexure and notes to accounts.</w:t>
      </w:r>
    </w:p>
    <w:p>
      <w:r>
        <w:drawing>
          <wp:inline xmlns:a="http://schemas.openxmlformats.org/drawingml/2006/main" xmlns:pic="http://schemas.openxmlformats.org/drawingml/2006/picture">
            <wp:extent cx="5940000" cy="2036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036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b w:val="0"/>
          <w:i/>
          <w:color w:val="595959"/>
          <w:sz w:val="17"/>
        </w:rPr>
        <w:t>Figure 3 - Observations by area and severity.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7"/>
        <w:gridCol w:w="850"/>
        <w:gridCol w:w="1587"/>
        <w:gridCol w:w="2381"/>
        <w:gridCol w:w="1814"/>
        <w:gridCol w:w="1701"/>
      </w:tblGrid>
      <w:tr>
        <w:tc>
          <w:tcPr>
            <w:tcW w:type="dxa" w:w="39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#</w:t>
            </w:r>
          </w:p>
        </w:tc>
        <w:tc>
          <w:tcPr>
            <w:tcW w:type="dxa" w:w="850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Severity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Observation</w:t>
            </w:r>
          </w:p>
        </w:tc>
        <w:tc>
          <w:tcPr>
            <w:tcW w:type="dxa" w:w="2381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Evidence</w:t>
            </w:r>
          </w:p>
        </w:tc>
        <w:tc>
          <w:tcPr>
            <w:tcW w:type="dxa" w:w="1814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Implication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Action required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>1</w:t>
            </w:r>
          </w:p>
        </w:tc>
        <w:tc>
          <w:tcPr>
            <w:tcW w:type="dxa" w:w="850"/>
            <w:shd w:val="clear" w:color="auto" w:fill="FFC7CE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1587"/>
          </w:tcPr>
          <w:p>
            <w:r/>
            <w:r>
              <w:rPr>
                <w:sz w:val="15"/>
              </w:rPr>
              <w:t>Sharp rise in loans &amp; advances given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Loans &amp; advances up 85.0 Cr (18% of net worth)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Loans to group/related entities are a common siphoning route.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Get party-wise list, interest charged, board approval u/s 186, recoverability.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>2</w:t>
            </w:r>
          </w:p>
        </w:tc>
        <w:tc>
          <w:tcPr>
            <w:tcW w:type="dxa" w:w="850"/>
            <w:shd w:val="clear" w:color="auto" w:fill="FFC7CE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1587"/>
          </w:tcPr>
          <w:p>
            <w:r/>
            <w:r>
              <w:rPr>
                <w:sz w:val="15"/>
              </w:rPr>
              <w:t>Receivables growing much faster than revenue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Receivable growth exceeds sales growth by 37%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Possible fictitious / channel-stuffed sales or rising bad debts.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Debtor ageing, top-10 debtors, related-party debtors, post-balance-sheet collections.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850"/>
            <w:shd w:val="clear" w:color="auto" w:fill="FFC7CE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1587"/>
          </w:tcPr>
          <w:p>
            <w:r/>
            <w:r>
              <w:rPr>
                <w:sz w:val="15"/>
              </w:rPr>
              <w:t>Beneish M-score indicates possible earnings manipulation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M-score -1.76 (threshold -1.78)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Statistical model of manipulators (DSRI, TATA, AQI drivers).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Deep-dive on the highest index components.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850"/>
            <w:shd w:val="clear" w:color="auto" w:fill="FFC7CE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1587"/>
          </w:tcPr>
          <w:p>
            <w:r/>
            <w:r>
              <w:rPr>
                <w:sz w:val="15"/>
              </w:rPr>
              <w:t>CARO: short-term funds used for long-term purposes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...demand without specifying any terms or period of repayment aggregating Rs. 80.00 crore. (ix)(d) On an overall examination, funds raised on short-term basis aggregating Rs. 45.00 crore have been used for long-term purposes. (vii) There were delays in deposit of undisputed statutory dues of GST and TDS of Rs. 3.20 crore outstanding for more than s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Working-capital money was used for long-term assets - a classic sign of diversion and liquidity stress.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Read the cited page; obtain management explanation.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850"/>
            <w:shd w:val="clear" w:color="auto" w:fill="FFC7CE"/>
          </w:tcPr>
          <w:p>
            <w:r/>
            <w:r>
              <w:rPr>
                <w:sz w:val="15"/>
              </w:rPr>
              <w:t>High</w:t>
            </w:r>
          </w:p>
        </w:tc>
        <w:tc>
          <w:tcPr>
            <w:tcW w:type="dxa" w:w="1587"/>
          </w:tcPr>
          <w:p>
            <w:r/>
            <w:r>
              <w:rPr>
                <w:sz w:val="15"/>
              </w:rPr>
              <w:t>CARO: loans without repayment terms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...crore. Annexure to the Auditor's Report (Companies (Auditor's Report) Order, 2020): (iii) The Company has granted loans to a related party repayable on demand without specifying any terms or period of repayment aggregating Rs. 80.00 crore. (ix)(d) On an overall examination, funds raised on short-term basis aggregating Rs. 45.00 crore have been u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Loans given without repayment schedule are often a route to move money to group firms.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Read the cited page; obtain management explanation.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850"/>
            <w:shd w:val="clear" w:color="auto" w:fill="FFEB9C"/>
          </w:tcPr>
          <w:p>
            <w:r/>
            <w:r>
              <w:rPr>
                <w:sz w:val="15"/>
              </w:rPr>
              <w:t>Medium</w:t>
            </w:r>
          </w:p>
        </w:tc>
        <w:tc>
          <w:tcPr>
            <w:tcW w:type="dxa" w:w="1587"/>
          </w:tcPr>
          <w:p>
            <w:r/>
            <w:r>
              <w:rPr>
                <w:sz w:val="15"/>
              </w:rPr>
              <w:t>Borrowed funds not visibly deployed in business (end-use gap)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Debt rose 249.0 Cr but capex 48.0 + working-capital build 100.0. Gap 101.0 Cr. Moved to: loans &amp; advances +85.0, investments +40.0, other assets / capital advances +32.0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Classic indicator of diversion/siphoning of bank funds to group or unrelated purposes.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Obtain end-use certificate (CA), lender-wise utilisation, bank statements of disbursement accounts.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850"/>
            <w:shd w:val="clear" w:color="auto" w:fill="FFEB9C"/>
          </w:tcPr>
          <w:p>
            <w:r/>
            <w:r>
              <w:rPr>
                <w:sz w:val="15"/>
              </w:rPr>
              <w:t>Medium</w:t>
            </w:r>
          </w:p>
        </w:tc>
        <w:tc>
          <w:tcPr>
            <w:tcW w:type="dxa" w:w="1587"/>
          </w:tcPr>
          <w:p>
            <w:r/>
            <w:r>
              <w:rPr>
                <w:sz w:val="15"/>
              </w:rPr>
              <w:t>Revenue up but operating cash flow down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Revenue 1,250.0 -&gt; 1,350.0; CFO 120.0 -&gt; 35.0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Profits not converting to cash.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Reconcile PAT to CFO; check working-capital movements.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850"/>
            <w:shd w:val="clear" w:color="auto" w:fill="FFEB9C"/>
          </w:tcPr>
          <w:p>
            <w:r/>
            <w:r>
              <w:rPr>
                <w:sz w:val="15"/>
              </w:rPr>
              <w:t>Medium</w:t>
            </w:r>
          </w:p>
        </w:tc>
        <w:tc>
          <w:tcPr>
            <w:tcW w:type="dxa" w:w="1587"/>
          </w:tcPr>
          <w:p>
            <w:r/>
            <w:r>
              <w:rPr>
                <w:sz w:val="15"/>
              </w:rPr>
              <w:t>Emphasis of matter in audit report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...the Audit of the Standalone Financial Statements. Opinion: In our opinion the standalone financial statements give a true and fair view. Emphasis of Matter: We draw attention to Note 7 regarding loans of Rs. 80.00 crore granted to Sahyadri Agro Trading Private Limited, an enterprise in which a promoter director is interested, which are repayable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The auditor is drawing attention to a significant uncertainty the reader must not miss.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Read the cited page; obtain management explanation.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850"/>
            <w:shd w:val="clear" w:color="auto" w:fill="FFEB9C"/>
          </w:tcPr>
          <w:p>
            <w:r/>
            <w:r>
              <w:rPr>
                <w:sz w:val="15"/>
              </w:rPr>
              <w:t>Medium</w:t>
            </w:r>
          </w:p>
        </w:tc>
        <w:tc>
          <w:tcPr>
            <w:tcW w:type="dxa" w:w="1587"/>
          </w:tcPr>
          <w:p>
            <w:r/>
            <w:r>
              <w:rPr>
                <w:sz w:val="15"/>
              </w:rPr>
              <w:t>CARO: delay in statutory dues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...overall examination, funds raised on short-term basis aggregating Rs. 45.00 crore have been used for long-term purposes. (vii) There were delays in deposit of undisputed statutory dues of GST and TDS of Rs. 3.20 crore outstanding for more than six months.... [p.2]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Delays in paying taxes / PF signal cash shortage.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Read the cited page; obtain management explanation.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850"/>
            <w:shd w:val="clear" w:color="auto" w:fill="FFEB9C"/>
          </w:tcPr>
          <w:p>
            <w:r/>
            <w:r>
              <w:rPr>
                <w:sz w:val="15"/>
              </w:rPr>
              <w:t>Medium</w:t>
            </w:r>
          </w:p>
        </w:tc>
        <w:tc>
          <w:tcPr>
            <w:tcW w:type="dxa" w:w="1587"/>
          </w:tcPr>
          <w:p>
            <w:r/>
            <w:r>
              <w:rPr>
                <w:sz w:val="15"/>
              </w:rPr>
              <w:t>Inter-corporate deposits in borrowing mix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...loan from Bajaj Finance Rs. 160.00 crore at 13.5%. Short-term borrowings include working capital from Bank of Baroda Rs. 180.00 crore, inter-corporate deposits Rs. 60.00 crore at 15%, and current maturities of long-term debt Rs. 60.00 crore. Note 35 Related party transactions: Sahyadri Agro Trading Private Limited (enterprise controlled by promo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Costly ICDs usually mean bank finance was not available.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Read the cited page; obtain management explanation.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850"/>
            <w:shd w:val="clear" w:color="auto" w:fill="FFEB9C"/>
          </w:tcPr>
          <w:p>
            <w:r/>
            <w:r>
              <w:rPr>
                <w:sz w:val="15"/>
              </w:rPr>
              <w:t>Medium</w:t>
            </w:r>
          </w:p>
        </w:tc>
        <w:tc>
          <w:tcPr>
            <w:tcW w:type="dxa" w:w="1587"/>
          </w:tcPr>
          <w:p>
            <w:r/>
            <w:r>
              <w:rPr>
                <w:sz w:val="15"/>
              </w:rPr>
              <w:t>Corporate guarantees given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...capital advance Rs. 22.00 crore. Key managerial personnel remuneration Rs. 6.40 crore. Note 36 Contingent liabilities and commitments: Corporate guarantee given to banks on behalf of Sahyadri Agro Trading Private Limited Rs. 180.00 crore; disputed GST demand Rs. 48.00 crore; income tax demands under appeal Rs. 32.00 crore. Total contingent liabi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Guarantees for others can become the company's own liability.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Read the cited page; obtain management explanation.</w:t>
            </w:r>
          </w:p>
        </w:tc>
      </w:tr>
      <w:tr>
        <w:tc>
          <w:tcPr>
            <w:tcW w:type="dxa" w:w="397"/>
          </w:tcPr>
          <w:p>
            <w:r/>
            <w:r>
              <w:rPr>
                <w:sz w:val="15"/>
              </w:rPr>
              <w:t>12</w:t>
            </w:r>
          </w:p>
        </w:tc>
        <w:tc>
          <w:tcPr>
            <w:tcW w:type="dxa" w:w="850"/>
            <w:shd w:val="clear" w:color="auto" w:fill="FFEB9C"/>
          </w:tcPr>
          <w:p>
            <w:r/>
            <w:r>
              <w:rPr>
                <w:sz w:val="15"/>
              </w:rPr>
              <w:t>Medium</w:t>
            </w:r>
          </w:p>
        </w:tc>
        <w:tc>
          <w:tcPr>
            <w:tcW w:type="dxa" w:w="1587"/>
          </w:tcPr>
          <w:p>
            <w:r/>
            <w:r>
              <w:rPr>
                <w:sz w:val="15"/>
              </w:rPr>
              <w:t>Promoter pledge disclosed</w:t>
            </w:r>
          </w:p>
        </w:tc>
        <w:tc>
          <w:tcPr>
            <w:tcW w:type="dxa" w:w="2381"/>
          </w:tcPr>
          <w:p>
            <w:r/>
            <w:r>
              <w:rPr>
                <w:sz w:val="15"/>
              </w:rPr>
              <w:t>...48.00 crore; income tax demands under appeal Rs. 32.00 crore. Total contingent liabilities Rs. 260.00 crore. Note 37: The promoters have pledged 38.5% of their shareholding with lenders of group companies.... [p.6]</w:t>
            </w:r>
          </w:p>
        </w:tc>
        <w:tc>
          <w:tcPr>
            <w:tcW w:type="dxa" w:w="1814"/>
          </w:tcPr>
          <w:p>
            <w:r/>
            <w:r>
              <w:rPr>
                <w:sz w:val="15"/>
              </w:rPr>
              <w:t>Pledged promoter shares signal promoter cash stress and control risk.</w:t>
            </w:r>
          </w:p>
        </w:tc>
        <w:tc>
          <w:tcPr>
            <w:tcW w:type="dxa" w:w="1701"/>
          </w:tcPr>
          <w:p>
            <w:r/>
            <w:r>
              <w:rPr>
                <w:sz w:val="15"/>
              </w:rPr>
              <w:t>Read the cited page; obtain management explanation.</w:t>
            </w:r>
          </w:p>
        </w:tc>
      </w:tr>
    </w:tbl>
    <w:p>
      <w:pPr>
        <w:pStyle w:val="Heading2"/>
      </w:pPr>
      <w:r>
        <w:t>7.1 Statistical models</w:t>
      </w:r>
    </w:p>
    <w:p>
      <w:pPr>
        <w:spacing w:after="120"/>
        <w:jc w:val="both"/>
      </w:pPr>
      <w:r>
        <w:rPr>
          <w:b w:val="0"/>
          <w:i w:val="0"/>
          <w:sz w:val="21"/>
        </w:rPr>
        <w:t>Beneish M-score is -1.76 - above the -1.78 threshold, placing the company in the zone associated with earnings manipulation; the highest component indices should be investigated.</w:t>
      </w:r>
    </w:p>
    <w:p>
      <w:pPr>
        <w:spacing w:after="120"/>
        <w:jc w:val="both"/>
      </w:pPr>
      <w:r>
        <w:rPr>
          <w:b w:val="0"/>
          <w:i w:val="0"/>
          <w:sz w:val="21"/>
        </w:rPr>
        <w:t>Piotroski F-score is 4/9 (average).</w:t>
      </w:r>
    </w:p>
    <w:p>
      <w:pPr>
        <w:spacing w:after="120"/>
        <w:jc w:val="both"/>
      </w:pPr>
      <w:r>
        <w:rPr>
          <w:b w:val="0"/>
          <w:i w:val="0"/>
          <w:sz w:val="21"/>
        </w:rPr>
        <w:t>Altman Z'' (emerging-market) is 2.85 - safe zone.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1701"/>
        <w:gridCol w:w="3402"/>
      </w:tblGrid>
      <w:tr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Beneish index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3402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Reading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DSRI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1.343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Deterioration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GMI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0.985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AQI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1.337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Deterioration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SGI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1.080</w:t>
            </w:r>
          </w:p>
        </w:tc>
        <w:tc>
          <w:tcPr>
            <w:tcW w:type="dxa" w:w="3402"/>
          </w:tcPr>
          <w:p>
            <w:r/>
            <w:r>
              <w:rPr>
                <w:sz w:val="17"/>
              </w:rPr>
              <w:t>Deterioration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DEPI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0.973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SGAI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1.005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LVGI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1.103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17"/>
              </w:rPr>
              <w:t>TATA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7"/>
              </w:rPr>
              <w:t>0.052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</w:t>
            </w:r>
          </w:p>
        </w:tc>
      </w:tr>
    </w:tbl>
    <w:p>
      <w:pPr>
        <w:pStyle w:val="Heading2"/>
      </w:pPr>
      <w:r>
        <w:t>7.2 RBI early-warning signals</w:t>
      </w:r>
    </w:p>
    <w:p>
      <w:pPr>
        <w:spacing w:after="120"/>
        <w:jc w:val="both"/>
      </w:pPr>
      <w:r>
        <w:rPr>
          <w:b w:val="0"/>
          <w:i w:val="0"/>
          <w:sz w:val="21"/>
        </w:rPr>
        <w:t>The account was tested against the early-warning signals listed in the RBI framework for fraud risk management. 6 signal(s) are triggered on the information available. Multiple EWS triggered - the RBI framework requires the account to be examined for Red-Flagging (RFA) and a decision within the prescribed timeline; consider a forensic audit before any fresh exposure. Signals marked 'Bank data needed' depend on account conduct, bank statements or registry searches and must be confirmed by the branch.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969"/>
        <w:gridCol w:w="1474"/>
        <w:gridCol w:w="4195"/>
      </w:tblGrid>
      <w:tr>
        <w:tc>
          <w:tcPr>
            <w:tcW w:type="dxa" w:w="3969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Early-warning signal</w:t>
            </w:r>
          </w:p>
        </w:tc>
        <w:tc>
          <w:tcPr>
            <w:tcW w:type="dxa" w:w="147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195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Basis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Default in undisputed statutory dues / delay in payment to lenders</w:t>
            </w:r>
          </w:p>
        </w:tc>
        <w:tc>
          <w:tcPr>
            <w:tcW w:type="dxa" w:w="1474"/>
            <w:shd w:val="clear" w:color="auto" w:fill="FFC7CE"/>
          </w:tcPr>
          <w:p>
            <w:r/>
            <w:r>
              <w:rPr>
                <w:sz w:val="16"/>
              </w:rPr>
              <w:t>Triggered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CARO: delay in statutory dues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Diversion of funds / end-use not established</w:t>
            </w:r>
          </w:p>
        </w:tc>
        <w:tc>
          <w:tcPr>
            <w:tcW w:type="dxa" w:w="1474"/>
            <w:shd w:val="clear" w:color="auto" w:fill="FFC7CE"/>
          </w:tcPr>
          <w:p>
            <w:r/>
            <w:r>
              <w:rPr>
                <w:sz w:val="16"/>
              </w:rPr>
              <w:t>Triggered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Borrowed funds not visibly deployed in business (end-use gap); Sharp rise in loans &amp; advances given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Substantial related-party transactions / funds to group entities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6"/>
              </w:rPr>
              <w:t>Not observed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No indication in the financial statements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Receivables disproportionate to sales / stretched debtors</w:t>
            </w:r>
          </w:p>
        </w:tc>
        <w:tc>
          <w:tcPr>
            <w:tcW w:type="dxa" w:w="1474"/>
            <w:shd w:val="clear" w:color="auto" w:fill="FFC7CE"/>
          </w:tcPr>
          <w:p>
            <w:r/>
            <w:r>
              <w:rPr>
                <w:sz w:val="16"/>
              </w:rPr>
              <w:t>Triggered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Receivables growing much faster than revenue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Inventory build-up / stock not commensurate with turnover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6"/>
              </w:rPr>
              <w:t>Not observed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No indication in the financial statements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Frequent change in project scope / delay in implementation (CWIP)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6"/>
              </w:rPr>
              <w:t>Not observed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No indication in the financial statements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Critical remarks by statutory auditor / qualification / CARO</w:t>
            </w:r>
          </w:p>
        </w:tc>
        <w:tc>
          <w:tcPr>
            <w:tcW w:type="dxa" w:w="1474"/>
            <w:shd w:val="clear" w:color="auto" w:fill="FFC7CE"/>
          </w:tcPr>
          <w:p>
            <w:r/>
            <w:r>
              <w:rPr>
                <w:sz w:val="16"/>
              </w:rPr>
              <w:t>Triggered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Emphasis of matter in audit report; CARO: short-term funds used for long-term purposes; CARO: loans without repayment terms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Large contingent or off-balance-sheet liabilities</w:t>
            </w:r>
          </w:p>
        </w:tc>
        <w:tc>
          <w:tcPr>
            <w:tcW w:type="dxa" w:w="1474"/>
            <w:shd w:val="clear" w:color="auto" w:fill="FFC7CE"/>
          </w:tcPr>
          <w:p>
            <w:r/>
            <w:r>
              <w:rPr>
                <w:sz w:val="16"/>
              </w:rPr>
              <w:t>Triggered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Corporate guarantees given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Cash-rich yet borrowing / low yield on liquid funds (possible fictitious cash)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6"/>
              </w:rPr>
              <w:t>Not observed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No indication in the financial statements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Manipulation indicators (Beneish / accrual-heavy profits)</w:t>
            </w:r>
          </w:p>
        </w:tc>
        <w:tc>
          <w:tcPr>
            <w:tcW w:type="dxa" w:w="1474"/>
            <w:shd w:val="clear" w:color="auto" w:fill="FFC7CE"/>
          </w:tcPr>
          <w:p>
            <w:r/>
            <w:r>
              <w:rPr>
                <w:sz w:val="16"/>
              </w:rPr>
              <w:t>Triggered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Revenue up but operating cash flow down; Beneish M-score indicates possible earnings manipulation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High promoter pledge / reduction in promoter stake</w:t>
            </w:r>
          </w:p>
        </w:tc>
        <w:tc>
          <w:tcPr>
            <w:tcW w:type="dxa" w:w="1474"/>
            <w:shd w:val="clear" w:color="auto" w:fill="FFEB9C"/>
          </w:tcPr>
          <w:p>
            <w:r/>
            <w:r>
              <w:rPr>
                <w:sz w:val="16"/>
              </w:rPr>
              <w:t>Bank data needed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Shareholding pattern / NSDL data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Erosion of net worth / negative tangible net worth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6"/>
              </w:rPr>
              <w:t>Not observed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TNW ₹462.00 Cr; PAT margin 8.2%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Rating downgrade / resignation of auditor or key personnel / regulatory action (news)</w:t>
            </w:r>
          </w:p>
        </w:tc>
        <w:tc>
          <w:tcPr>
            <w:tcW w:type="dxa" w:w="1474"/>
            <w:shd w:val="clear" w:color="auto" w:fill="FFEB9C"/>
          </w:tcPr>
          <w:p>
            <w:r/>
            <w:r>
              <w:rPr>
                <w:sz w:val="16"/>
              </w:rPr>
              <w:t>Bank data needed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News not scanned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Delay in submission of stock statements / financial data</w:t>
            </w:r>
          </w:p>
        </w:tc>
        <w:tc>
          <w:tcPr>
            <w:tcW w:type="dxa" w:w="1474"/>
            <w:shd w:val="clear" w:color="auto" w:fill="FFEB9C"/>
          </w:tcPr>
          <w:p>
            <w:r/>
            <w:r>
              <w:rPr>
                <w:sz w:val="16"/>
              </w:rPr>
              <w:t>Bank data needed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Confirm from account monitoring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Bouncing of high-value cheques / devolvement of LC / invocation of BG</w:t>
            </w:r>
          </w:p>
        </w:tc>
        <w:tc>
          <w:tcPr>
            <w:tcW w:type="dxa" w:w="1474"/>
            <w:shd w:val="clear" w:color="auto" w:fill="FFEB9C"/>
          </w:tcPr>
          <w:p>
            <w:r/>
            <w:r>
              <w:rPr>
                <w:sz w:val="16"/>
              </w:rPr>
              <w:t>Bank data needed</w:t>
            </w:r>
          </w:p>
        </w:tc>
        <w:tc>
          <w:tcPr>
            <w:tcW w:type="dxa" w:w="4195"/>
          </w:tcPr>
          <w:p>
            <w:pPr>
              <w:jc w:val="right"/>
            </w:pPr>
            <w:r/>
            <w:r>
              <w:rPr>
                <w:sz w:val="16"/>
              </w:rPr>
              <w:t>12-month bank statement analysis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Frequent ad hoc / persistent overdrawing of limits</w:t>
            </w:r>
          </w:p>
        </w:tc>
        <w:tc>
          <w:tcPr>
            <w:tcW w:type="dxa" w:w="1474"/>
            <w:shd w:val="clear" w:color="auto" w:fill="FFEB9C"/>
          </w:tcPr>
          <w:p>
            <w:r/>
            <w:r>
              <w:rPr>
                <w:sz w:val="16"/>
              </w:rPr>
              <w:t>Bank data needed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CBS / account conduct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Heavy cash withdrawals / non-routing of sales through lending bank</w:t>
            </w:r>
          </w:p>
        </w:tc>
        <w:tc>
          <w:tcPr>
            <w:tcW w:type="dxa" w:w="1474"/>
            <w:shd w:val="clear" w:color="auto" w:fill="FFEB9C"/>
          </w:tcPr>
          <w:p>
            <w:r/>
            <w:r>
              <w:rPr>
                <w:sz w:val="16"/>
              </w:rPr>
              <w:t>Bank data needed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Compare credit summation with sales; GST turnover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Charges in ROC / CRILC not reflected in books (hidden borrowings)</w:t>
            </w:r>
          </w:p>
        </w:tc>
        <w:tc>
          <w:tcPr>
            <w:tcW w:type="dxa" w:w="1474"/>
            <w:shd w:val="clear" w:color="auto" w:fill="FFEB9C"/>
          </w:tcPr>
          <w:p>
            <w:r/>
            <w:r>
              <w:rPr>
                <w:sz w:val="16"/>
              </w:rPr>
              <w:t>Bank data needed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MCA charge search vs. borrowings in balance sheet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6"/>
              </w:rPr>
              <w:t>Overdue / irregular account (SMA status)</w:t>
            </w:r>
          </w:p>
        </w:tc>
        <w:tc>
          <w:tcPr>
            <w:tcW w:type="dxa" w:w="1474"/>
            <w:shd w:val="clear" w:color="auto" w:fill="C6EFCE"/>
          </w:tcPr>
          <w:p>
            <w:r/>
            <w:r>
              <w:rPr>
                <w:sz w:val="16"/>
              </w:rPr>
              <w:t>Not observed</w:t>
            </w:r>
          </w:p>
        </w:tc>
        <w:tc>
          <w:tcPr>
            <w:tcW w:type="dxa" w:w="4195"/>
          </w:tcPr>
          <w:p>
            <w:r/>
            <w:r>
              <w:rPr>
                <w:sz w:val="16"/>
              </w:rPr>
              <w:t>Standard - no overdues</w:t>
            </w:r>
          </w:p>
        </w:tc>
      </w:tr>
    </w:tbl>
    <w:p>
      <w:pPr>
        <w:pStyle w:val="Heading1"/>
      </w:pPr>
      <w:r>
        <w:t>8. Auditor's Report, Notes and Contingent Liabilities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85"/>
            <w:shd w:val="clear" w:color="auto" w:fill="EEF2F8"/>
          </w:tcPr>
          <w:p>
            <w:r/>
            <w:r>
              <w:rPr>
                <w:b/>
                <w:sz w:val="19"/>
              </w:rPr>
              <w:t>Auditor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3685"/>
            <w:shd w:val="clear" w:color="auto" w:fill="EEF2F8"/>
          </w:tcPr>
          <w:p>
            <w:r/>
            <w:r>
              <w:rPr>
                <w:b/>
                <w:sz w:val="19"/>
              </w:rPr>
              <w:t>Opinion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Unmodified</w:t>
            </w:r>
          </w:p>
        </w:tc>
      </w:tr>
      <w:tr>
        <w:tc>
          <w:tcPr>
            <w:tcW w:type="dxa" w:w="3685"/>
            <w:shd w:val="clear" w:color="auto" w:fill="EEF2F8"/>
          </w:tcPr>
          <w:p>
            <w:r/>
            <w:r>
              <w:rPr>
                <w:b/>
                <w:sz w:val="19"/>
              </w:rPr>
              <w:t>Going-concern uncertainty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No</w:t>
            </w:r>
          </w:p>
        </w:tc>
      </w:tr>
      <w:tr>
        <w:tc>
          <w:tcPr>
            <w:tcW w:type="dxa" w:w="3685"/>
            <w:shd w:val="clear" w:color="auto" w:fill="EEF2F8"/>
          </w:tcPr>
          <w:p>
            <w:r/>
            <w:r>
              <w:rPr>
                <w:b/>
                <w:sz w:val="19"/>
              </w:rPr>
              <w:t>Contingent liabilities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3685"/>
            <w:shd w:val="clear" w:color="auto" w:fill="EEF2F8"/>
          </w:tcPr>
          <w:p>
            <w:r/>
            <w:r>
              <w:rPr>
                <w:b/>
                <w:sz w:val="19"/>
              </w:rPr>
              <w:t>Loans / advances to related parties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  <w:tr>
        <w:tc>
          <w:tcPr>
            <w:tcW w:type="dxa" w:w="3685"/>
            <w:shd w:val="clear" w:color="auto" w:fill="EEF2F8"/>
          </w:tcPr>
          <w:p>
            <w:r/>
            <w:r>
              <w:rPr>
                <w:b/>
                <w:sz w:val="19"/>
              </w:rPr>
              <w:t>Guarantees for related parties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19"/>
              </w:rPr>
              <w:t>-</w:t>
            </w:r>
          </w:p>
        </w:tc>
      </w:tr>
    </w:tbl>
    <w:p>
      <w:pPr>
        <w:spacing w:after="160"/>
      </w:pPr>
      <w:r>
        <w:rPr>
          <w:b w:val="0"/>
          <w:i/>
          <w:color w:val="595959"/>
          <w:sz w:val="17"/>
        </w:rPr>
        <w:t>Notes were reviewed by keyword scan (no AI key configured); an AI review gives a fuller reading of related-party and contingent-liability notes.</w:t>
      </w:r>
    </w:p>
    <w:p>
      <w:pPr>
        <w:pStyle w:val="Heading1"/>
      </w:pPr>
      <w:r>
        <w:t>9. Market Intelligence</w:t>
      </w:r>
    </w:p>
    <w:p>
      <w:pPr>
        <w:spacing w:after="120"/>
        <w:jc w:val="both"/>
      </w:pPr>
      <w:r>
        <w:rPr>
          <w:b w:val="0"/>
          <w:i w:val="0"/>
          <w:sz w:val="21"/>
        </w:rPr>
        <w:t>No live news was retrieved for this memorandum. Re-run with 'Pull live news' enabled to include press coverage, regulatory actions, rating changes and adverse-media screening.</w:t>
      </w:r>
    </w:p>
    <w:p>
      <w:pPr>
        <w:pStyle w:val="Heading1"/>
      </w:pPr>
      <w:r>
        <w:t>10. ESG, BRSR and Financed Emissions</w:t>
      </w:r>
    </w:p>
    <w:p>
      <w:pPr>
        <w:spacing w:after="120"/>
        <w:jc w:val="both"/>
      </w:pPr>
      <w:r>
        <w:rPr>
          <w:b w:val="0"/>
          <w:i w:val="0"/>
          <w:sz w:val="21"/>
        </w:rPr>
        <w:t>Heuristic scan only (no AI key). Headline environmental figures were pattern-matched; verify against the filing.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c>
          <w:tcPr>
            <w:tcW w:type="dxa" w:w="45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BRSR indicator</w:t>
            </w:r>
          </w:p>
        </w:tc>
        <w:tc>
          <w:tcPr>
            <w:tcW w:type="dxa" w:w="45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Reported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Scope 1 (tCO2e)</w:t>
            </w:r>
          </w:p>
        </w:tc>
        <w:tc>
          <w:tcPr>
            <w:tcW w:type="dxa" w:w="4535"/>
          </w:tcPr>
          <w:p>
            <w:pPr>
              <w:jc w:val="right"/>
            </w:pPr>
            <w:r/>
            <w:r>
              <w:rPr>
                <w:sz w:val="18"/>
              </w:rPr>
              <w:t>85,000.00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Scope 2 (tCO2e)</w:t>
            </w:r>
          </w:p>
        </w:tc>
        <w:tc>
          <w:tcPr>
            <w:tcW w:type="dxa" w:w="4535"/>
          </w:tcPr>
          <w:p>
            <w:pPr>
              <w:jc w:val="right"/>
            </w:pPr>
            <w:r/>
            <w:r>
              <w:rPr>
                <w:sz w:val="18"/>
              </w:rPr>
              <w:t>42,000.00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Energy consumed (GJ)</w:t>
            </w:r>
          </w:p>
        </w:tc>
        <w:tc>
          <w:tcPr>
            <w:tcW w:type="dxa" w:w="4535"/>
          </w:tcPr>
          <w:p>
            <w:pPr>
              <w:jc w:val="right"/>
            </w:pPr>
            <w:r/>
            <w:r>
              <w:rPr>
                <w:sz w:val="18"/>
              </w:rPr>
              <w:t>1,250,000.00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Water withdrawal (kL)</w:t>
            </w:r>
          </w:p>
        </w:tc>
        <w:tc>
          <w:tcPr>
            <w:tcW w:type="dxa" w:w="4535"/>
          </w:tcPr>
          <w:p>
            <w:pPr>
              <w:jc w:val="right"/>
            </w:pPr>
            <w:r/>
            <w:r>
              <w:rPr>
                <w:sz w:val="18"/>
              </w:rPr>
              <w:t>410,000.00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Waste generated (t)</w:t>
            </w:r>
          </w:p>
        </w:tc>
        <w:tc>
          <w:tcPr>
            <w:tcW w:type="dxa" w:w="4535"/>
          </w:tcPr>
          <w:p>
            <w:pPr>
              <w:jc w:val="right"/>
            </w:pPr>
            <w:r/>
            <w:r>
              <w:rPr>
                <w:sz w:val="18"/>
              </w:rPr>
              <w:t>6,800.00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8"/>
              </w:rPr>
              <w:t>GHG assurance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not stated</w:t>
            </w:r>
          </w:p>
        </w:tc>
      </w:tr>
    </w:tbl>
    <w:p>
      <w:pPr>
        <w:pStyle w:val="Heading1"/>
      </w:pPr>
      <w:r>
        <w:t>11. Risk Assessment Matrix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1417"/>
        <w:gridCol w:w="5386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area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538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Basis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Financial risk - leverage</w:t>
            </w:r>
          </w:p>
        </w:tc>
        <w:tc>
          <w:tcPr>
            <w:tcW w:type="dxa" w:w="1417"/>
            <w:shd w:val="clear" w:color="auto" w:fill="FFEB9C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TOL/TNW 2.17x, D/E 1.47x, Debt/EBITDA 3.00x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Financial risk - debt servicing</w:t>
            </w:r>
          </w:p>
        </w:tc>
        <w:tc>
          <w:tcPr>
            <w:tcW w:type="dxa" w:w="1417"/>
            <w:shd w:val="clear" w:color="auto" w:fill="C6EFCE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ICR 3.39x, DSCR n.a.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Liquidity &amp; working capital</w:t>
            </w:r>
          </w:p>
        </w:tc>
        <w:tc>
          <w:tcPr>
            <w:tcW w:type="dxa" w:w="1417"/>
            <w:shd w:val="clear" w:color="auto" w:fill="FFEB9C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Current ratio 1.18x, debtor days 78 days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Profitability &amp; earnings quality</w:t>
            </w:r>
          </w:p>
        </w:tc>
        <w:tc>
          <w:tcPr>
            <w:tcW w:type="dxa" w:w="1417"/>
            <w:shd w:val="clear" w:color="auto" w:fill="FFC7CE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EBITDA margin 17.0%, CFO/EBITDA 0.15x, ROCE 18.1%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Accounting &amp; fund-diversion risk</w:t>
            </w:r>
          </w:p>
        </w:tc>
        <w:tc>
          <w:tcPr>
            <w:tcW w:type="dxa" w:w="1417"/>
            <w:shd w:val="clear" w:color="auto" w:fill="FFC7CE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386"/>
          </w:tcPr>
          <w:p>
            <w:pPr>
              <w:jc w:val="right"/>
            </w:pPr>
            <w:r/>
            <w:r>
              <w:rPr>
                <w:sz w:val="18"/>
              </w:rPr>
              <w:t>5 forensic flag(s); Beneish M -1.76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Audit, governance &amp; related parties</w:t>
            </w:r>
          </w:p>
        </w:tc>
        <w:tc>
          <w:tcPr>
            <w:tcW w:type="dxa" w:w="1417"/>
            <w:shd w:val="clear" w:color="auto" w:fill="FFC7CE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Auditor opinion: Unmodified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Market &amp; reputation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Not assessed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News not scanned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ESG &amp; climate transition</w:t>
            </w:r>
          </w:p>
        </w:tc>
        <w:tc>
          <w:tcPr>
            <w:tcW w:type="dxa" w:w="1417"/>
            <w:shd w:val="clear" w:color="auto" w:fill="C6EFCE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5386"/>
          </w:tcPr>
          <w:p>
            <w:r/>
            <w:r>
              <w:rPr>
                <w:sz w:val="18"/>
              </w:rPr>
              <w:t>BRSR reviewed</w:t>
            </w:r>
          </w:p>
        </w:tc>
      </w:tr>
    </w:tbl>
    <w:p>
      <w:pPr>
        <w:spacing w:after="40"/>
      </w:pPr>
      <w:r>
        <w:rPr>
          <w:b/>
          <w:i w:val="0"/>
          <w:sz w:val="21"/>
        </w:rPr>
        <w:t>Key risks and mitigants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5102"/>
      </w:tblGrid>
      <w:tr>
        <w:tc>
          <w:tcPr>
            <w:tcW w:type="dxa" w:w="4535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Risk</w:t>
            </w:r>
          </w:p>
        </w:tc>
        <w:tc>
          <w:tcPr>
            <w:tcW w:type="dxa" w:w="5102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Mitigant / condition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Sharp rise in loans &amp; advances given: Loans to group/related entities are a common siphoning route.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Get party-wise list, interest charged, board approval u/s 186, recoverability.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Receivables growing much faster than revenue: Possible fictitious / channel-stuffed sales or rising bad debts.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Debtor ageing, top-10 debtors, related-party debtors, post-balance-sheet collections.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Beneish M-score indicates possible earnings manipulation: Statistical model of manipulators (DSRI, TATA, AQI drivers).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Deep-dive on the highest index components.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CARO: short-term funds used for long-term purposes: Working-capital money was used for long-term assets - a classic sign of diversion and liquidity stress.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Read the cited page; obtain management explanation.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CARO: loans without repayment terms: Loans given without repayment schedule are often a route to move money to group firms.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Read the cited page; obtain management explanation.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Borrowed funds not visibly deployed in business (end-use gap): Classic indicator of diversion/siphoning of bank funds to group or unrelated purposes.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Obtain end-use certificate (CA), lender-wise utilisation, bank statements of disbursement accounts.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Revenue up but operating cash flow down: Profits not converting to cash.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Reconcile PAT to CFO; check working-capital movements.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17"/>
              </w:rPr>
              <w:t>Emphasis of matter in audit report: The auditor is drawing attention to a significant uncertainty the reader must not miss.</w:t>
            </w:r>
          </w:p>
        </w:tc>
        <w:tc>
          <w:tcPr>
            <w:tcW w:type="dxa" w:w="5102"/>
          </w:tcPr>
          <w:p>
            <w:r/>
            <w:r>
              <w:rPr>
                <w:sz w:val="17"/>
              </w:rPr>
              <w:t>Read the cited page; obtain management explanation.</w:t>
            </w:r>
          </w:p>
        </w:tc>
      </w:tr>
    </w:tbl>
    <w:p>
      <w:pPr>
        <w:pStyle w:val="Heading1"/>
      </w:pPr>
      <w:r>
        <w:t>12. Proposed Terms, Security, Pricing and Covenants</w:t>
      </w:r>
    </w:p>
    <w:p>
      <w:pPr>
        <w:pStyle w:val="Heading2"/>
      </w:pPr>
      <w:r>
        <w:t>12.1 Security and collateral cover</w:t>
      </w:r>
    </w:p>
    <w:p>
      <w:pPr>
        <w:spacing w:after="120"/>
        <w:jc w:val="both"/>
      </w:pPr>
      <w:r>
        <w:rPr>
          <w:b w:val="0"/>
          <w:i w:val="0"/>
          <w:sz w:val="21"/>
        </w:rPr>
        <w:t>Primary security: Hypothecation of stock &amp; book debts; equitable mortgage of factory land &amp; building. Collateral: Immovable property valued at ₹80.00 Cr. Guarantee: Personal guarantee of promoters.</w:t>
      </w:r>
    </w:p>
    <w:p>
      <w:pPr>
        <w:spacing w:after="120"/>
        <w:jc w:val="both"/>
      </w:pPr>
      <w:r>
        <w:rPr>
          <w:b w:val="0"/>
          <w:i w:val="0"/>
          <w:sz w:val="21"/>
        </w:rPr>
        <w:t>Total security cover is 1.37x of total borrowings including existing lenders, who share the current and fixed assets pari-passu (exclusive collateral alone covers 0.73x of the proposed exposure); the fixed-asset coverage ratio (net fixed assets / term debt) is 1.32x.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6236"/>
        <w:gridCol w:w="2835"/>
      </w:tblGrid>
      <w:tr>
        <w:tc>
          <w:tcPr>
            <w:tcW w:type="dxa" w:w="6236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Security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₹ Cr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Current assets (stock + receivables) - primary for CC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500.00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Net fixed assets incl. CWIP - primary for TL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515.00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Collateral (Immovable property) - market value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80.00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Total security available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1,095.00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Proposed exposure (fund + non-fund)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110.00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Total debt incl. existing lenders (security shared pari-passu)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800.00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Security cover (x)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1.37x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Fixed-asset coverage ratio (x)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1.32x</w:t>
            </w:r>
          </w:p>
        </w:tc>
      </w:tr>
      <w:tr>
        <w:tc>
          <w:tcPr>
            <w:tcW w:type="dxa" w:w="6236"/>
          </w:tcPr>
          <w:p>
            <w:r/>
            <w:r>
              <w:rPr>
                <w:sz w:val="17"/>
              </w:rPr>
              <w:t>Loan-to-value on fixed assets + collateral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7"/>
              </w:rPr>
              <w:t>18.5%</w:t>
            </w:r>
          </w:p>
        </w:tc>
      </w:tr>
    </w:tbl>
    <w:p>
      <w:pPr>
        <w:spacing w:after="160"/>
      </w:pPr>
      <w:r>
        <w:rPr>
          <w:b w:val="0"/>
          <w:i/>
          <w:color w:val="595959"/>
          <w:sz w:val="17"/>
        </w:rPr>
        <w:t>Book values are used for current and fixed assets; obtain valuation reports from bank-empanelled valuers and apply the bank's margins.</w:t>
      </w:r>
    </w:p>
    <w:p>
      <w:pPr>
        <w:pStyle w:val="Heading2"/>
      </w:pPr>
      <w:r>
        <w:t>12.2 Risk-based pricing and return on capital</w:t>
      </w:r>
    </w:p>
    <w:p>
      <w:pPr>
        <w:spacing w:after="120"/>
        <w:jc w:val="both"/>
      </w:pPr>
      <w:r>
        <w:rPr>
          <w:b w:val="0"/>
          <w:i w:val="0"/>
          <w:sz w:val="21"/>
        </w:rPr>
        <w:t>Expected loss is estimated at 0.50% a year (PD 5.00% for grade CI-5 x LGD 10.0%). Adding the cost of funds, operating cost and a charge for regulatory capital gives a risk-based hurdle of 8.73%; the minimum price is 9.00%. At the proposed rate of 9.50% the risk-adjusted return on capital is 21.7%, above the target return.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669"/>
        <w:gridCol w:w="3969"/>
      </w:tblGrid>
      <w:tr>
        <w:tc>
          <w:tcPr>
            <w:tcW w:type="dxa" w:w="5669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Pricing component</w:t>
            </w:r>
          </w:p>
        </w:tc>
        <w:tc>
          <w:tcPr>
            <w:tcW w:type="dxa" w:w="3969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7"/>
              </w:rPr>
              <w:t>Internal grade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CI-5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7"/>
              </w:rPr>
              <w:t>Probability of default (1-yr, illustrative master scale)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sz w:val="17"/>
              </w:rPr>
              <w:t>5.00%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7"/>
              </w:rPr>
              <w:t>Exposure at default (non-fund at CCF 50%)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₹105.00 Cr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7"/>
              </w:rPr>
              <w:t>Realisable security (after 40% haircut)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₹131.74 Cr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7"/>
              </w:rPr>
              <w:t>Loss given default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sz w:val="17"/>
              </w:rPr>
              <w:t>10.0%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7"/>
              </w:rPr>
              <w:t>Expected loss (PD x LGD x EAD)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₹0.525 Cr  (0.50% p.a.)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7"/>
              </w:rPr>
              <w:t>Capital required (11.5% x RW 100%)</w:t>
            </w:r>
          </w:p>
        </w:tc>
        <w:tc>
          <w:tcPr>
            <w:tcW w:type="dxa" w:w="3969"/>
          </w:tcPr>
          <w:p>
            <w:r/>
            <w:r>
              <w:rPr>
                <w:sz w:val="17"/>
              </w:rPr>
              <w:t>₹12.08 Cr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7"/>
              </w:rPr>
              <w:t>Cost of funds + operating cost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sz w:val="17"/>
              </w:rPr>
              <w:t>7.25%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7"/>
              </w:rPr>
              <w:t>Cost of capital charge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sz w:val="17"/>
              </w:rPr>
              <w:t>0.98%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7"/>
              </w:rPr>
              <w:t>Risk-based hurdle rate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sz w:val="17"/>
              </w:rPr>
              <w:t>8.73%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7"/>
              </w:rPr>
              <w:t>Minimum price (not below benchmark)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sz w:val="17"/>
              </w:rPr>
              <w:t>9.00%  (benchmark 9.00% + 0 bp)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7"/>
              </w:rPr>
              <w:t>Proposed rate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sz w:val="17"/>
              </w:rPr>
              <w:t>9.50%</w:t>
            </w:r>
          </w:p>
        </w:tc>
      </w:tr>
      <w:tr>
        <w:tc>
          <w:tcPr>
            <w:tcW w:type="dxa" w:w="5669"/>
          </w:tcPr>
          <w:p>
            <w:r/>
            <w:r>
              <w:rPr>
                <w:sz w:val="17"/>
              </w:rPr>
              <w:t>RAROC at proposed rate</w:t>
            </w:r>
          </w:p>
        </w:tc>
        <w:tc>
          <w:tcPr>
            <w:tcW w:type="dxa" w:w="3969"/>
          </w:tcPr>
          <w:p>
            <w:pPr>
              <w:jc w:val="right"/>
            </w:pPr>
            <w:r/>
            <w:r>
              <w:rPr>
                <w:sz w:val="17"/>
              </w:rPr>
              <w:t>21.7%  (target 15%)</w:t>
            </w:r>
          </w:p>
        </w:tc>
      </w:tr>
    </w:tbl>
    <w:p>
      <w:pPr>
        <w:spacing w:after="160"/>
      </w:pPr>
      <w:r>
        <w:rPr>
          <w:b w:val="0"/>
          <w:i/>
          <w:color w:val="595959"/>
          <w:sz w:val="17"/>
        </w:rPr>
        <w:t>PD master scale, haircut, cost of funds, opex and capital ratio are illustrative defaults; replace them with the bank's own policy figures.</w:t>
      </w:r>
    </w:p>
    <w:p>
      <w:pPr>
        <w:pStyle w:val="Heading2"/>
      </w:pPr>
      <w:r>
        <w:t>12.3 Regulatory and policy compliance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252"/>
        <w:gridCol w:w="2551"/>
        <w:gridCol w:w="2835"/>
      </w:tblGrid>
      <w:tr>
        <w:tc>
          <w:tcPr>
            <w:tcW w:type="dxa" w:w="4252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Position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7"/>
              </w:rPr>
              <w:t>Large Exposures Framework (single 20% / group 25% of Tier-1)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sz w:val="17"/>
              </w:rPr>
              <w:t>n.a.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Enter bank Tier-1 capital to test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7"/>
              </w:rPr>
              <w:t>Asset classification (IRACP)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Standard - no overdues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Standard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7"/>
              </w:rPr>
              <w:t>Unhedged foreign-currency exposure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Bank data needed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Obtain UFCE certificate (incremental provisioning / capital)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7"/>
              </w:rPr>
              <w:t>Wilful defaulter / CRILC / CIBIL screening</w:t>
            </w:r>
          </w:p>
        </w:tc>
        <w:tc>
          <w:tcPr>
            <w:tcW w:type="dxa" w:w="2551"/>
          </w:tcPr>
          <w:p>
            <w:r/>
            <w:r>
              <w:rPr>
                <w:sz w:val="17"/>
              </w:rPr>
              <w:t>Bank data needed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Mandatory before sanction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17"/>
              </w:rPr>
              <w:t>Minimum promoter margin on working capital</w:t>
            </w:r>
          </w:p>
        </w:tc>
        <w:tc>
          <w:tcPr>
            <w:tcW w:type="dxa" w:w="2551"/>
          </w:tcPr>
          <w:p>
            <w:pPr>
              <w:jc w:val="right"/>
            </w:pPr>
            <w:r/>
            <w:r>
              <w:rPr>
                <w:sz w:val="17"/>
              </w:rPr>
              <w:t>1.18x current ratio</w:t>
            </w:r>
          </w:p>
        </w:tc>
        <w:tc>
          <w:tcPr>
            <w:tcW w:type="dxa" w:w="2835"/>
          </w:tcPr>
          <w:p>
            <w:r/>
            <w:r>
              <w:rPr>
                <w:sz w:val="17"/>
              </w:rPr>
              <w:t>Below 1.25x - check margin compliance</w:t>
            </w:r>
          </w:p>
        </w:tc>
      </w:tr>
    </w:tbl>
    <w:p>
      <w:pPr>
        <w:pStyle w:val="Heading2"/>
      </w:pPr>
      <w:r>
        <w:t>12.4 Financial covenants (tested on audited annual accounts)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2268"/>
        <w:gridCol w:w="1701"/>
        <w:gridCol w:w="2835"/>
      </w:tblGrid>
      <w:tr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Covenant</w:t>
            </w:r>
          </w:p>
        </w:tc>
        <w:tc>
          <w:tcPr>
            <w:tcW w:type="dxa" w:w="226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Threshold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Actual FY2025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TOL/TNW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Not to exceed 3.00x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2.17x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Complied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Debt/Equity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Not to exceed 2.00x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1.47x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Complied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Total Debt/EBITDA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Not to exceed 3.50x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3.00x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Complied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DSCR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Not below 1.25x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n.a.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Set once data available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Interest coverage (EBIT/interest)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Not below 2.00x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3.39x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Complied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Current ratio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  <w:t>Not below 1.20x</w:t>
            </w:r>
          </w:p>
        </w:tc>
        <w:tc>
          <w:tcPr>
            <w:tcW w:type="dxa" w:w="1701"/>
          </w:tcPr>
          <w:p>
            <w:pPr>
              <w:jc w:val="right"/>
            </w:pPr>
            <w:r/>
            <w:r>
              <w:rPr>
                <w:sz w:val="18"/>
              </w:rPr>
              <w:t>1.18x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Currently breached - require cure plan / tighter terms</w:t>
            </w:r>
          </w:p>
        </w:tc>
      </w:tr>
    </w:tbl>
    <w:p>
      <w:pPr>
        <w:pStyle w:val="Heading2"/>
      </w:pPr>
      <w:r>
        <w:t>12.5 Information and conduct covenants</w:t>
      </w:r>
    </w:p>
    <w:p>
      <w:pPr>
        <w:pStyle w:val="ListBullet"/>
        <w:spacing w:after="40"/>
      </w:pPr>
      <w:r>
        <w:rPr>
          <w:sz w:val="19"/>
        </w:rPr>
        <w:t>Quarterly stock and book-debt statements within 20 days of quarter end; drawing power on eligible receivables (ageing &lt; 90 days) only.</w:t>
      </w:r>
    </w:p>
    <w:p>
      <w:pPr>
        <w:pStyle w:val="ListBullet"/>
        <w:spacing w:after="40"/>
      </w:pPr>
      <w:r>
        <w:rPr>
          <w:sz w:val="19"/>
        </w:rPr>
        <w:t>Annual stock and receivables audit by a bank-empanelled auditor.</w:t>
      </w:r>
    </w:p>
    <w:p>
      <w:pPr>
        <w:pStyle w:val="ListBullet"/>
        <w:spacing w:after="40"/>
      </w:pPr>
      <w:r>
        <w:rPr>
          <w:sz w:val="19"/>
        </w:rPr>
        <w:t>No loans, advances, investments or guarantees to group or related entities without prior written consent.</w:t>
      </w:r>
    </w:p>
    <w:p>
      <w:pPr>
        <w:pStyle w:val="ListBullet"/>
        <w:spacing w:after="40"/>
      </w:pPr>
      <w:r>
        <w:rPr>
          <w:sz w:val="19"/>
        </w:rPr>
        <w:t>End-use certificate from the statutory auditor for term-loan disbursements.</w:t>
      </w:r>
    </w:p>
    <w:p>
      <w:pPr>
        <w:pStyle w:val="ListBullet"/>
        <w:spacing w:after="40"/>
      </w:pPr>
      <w:r>
        <w:rPr>
          <w:sz w:val="19"/>
        </w:rPr>
        <w:t>Routing of all business receipts through the lending bank's accounts.</w:t>
      </w:r>
    </w:p>
    <w:p>
      <w:pPr>
        <w:pStyle w:val="ListBullet"/>
        <w:spacing w:after="40"/>
      </w:pPr>
      <w:r>
        <w:rPr>
          <w:sz w:val="19"/>
        </w:rPr>
        <w:t>Immediate intimation of any auditor qualification, rating action, litigation or regulatory notice.</w:t>
      </w:r>
    </w:p>
    <w:p>
      <w:pPr>
        <w:pStyle w:val="Heading1"/>
      </w:pPr>
      <w:r>
        <w:t>13. Due-diligence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4"/>
        <w:gridCol w:w="5953"/>
        <w:gridCol w:w="1361"/>
        <w:gridCol w:w="1871"/>
      </w:tblGrid>
      <w:tr>
        <w:tc>
          <w:tcPr>
            <w:tcW w:type="dxa" w:w="454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5953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Item to obtain / verify</w:t>
            </w:r>
          </w:p>
        </w:tc>
        <w:tc>
          <w:tcPr>
            <w:tcW w:type="dxa" w:w="1361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871"/>
            <w:shd w:val="clear" w:color="auto" w:fill="1F3864"/>
          </w:tcPr>
          <w:p>
            <w:r/>
            <w:r>
              <w:rPr>
                <w:b/>
                <w:color w:val="FFFFFF"/>
                <w:sz w:val="17"/>
              </w:rPr>
              <w:t>Remarks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Get party-wise list, interest charged, board approval u/s 186, recoverability.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 Pending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2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Debtor ageing, top-10 debtors, related-party debtors, post-balance-sheet collections.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 Pending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Deep-dive on the highest index components.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 Pending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4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Read the cited page; obtain management explanation.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 Pending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Obtain end-use certificate (CA), lender-wise utilisation, bank statements of disbursement accounts.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 Pending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6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Reconcile PAT to CFO; check working-capital movements.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 Pending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KYC of the entity, promoters and guarantors; MCA master data and charge register (CHG) search.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 Pending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8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CIBIL / CRILC commercial report and RBI wilful-defaulter / SMA status of the borrower and group entities.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 Pending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9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GST returns (GSTR-1 / 3B) for the last 12 months reconciled to reported revenue.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 Pending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10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Income-tax returns and tax audit report (Form 3CD) for the years analysed.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 Pending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11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Bank statements of all operative accounts for 12 months - turnover, inward/outward cheque returns, related-party transfers, cash withdrawals.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 Pending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Debtor and creditor ageing with top-10 parties; confirmation of related-party balances.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 Pending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13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Plant / office inspection report and stock verification.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 Pending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17"/>
              </w:rPr>
              <w:t>14</w:t>
            </w:r>
          </w:p>
        </w:tc>
        <w:tc>
          <w:tcPr>
            <w:tcW w:type="dxa" w:w="5953"/>
          </w:tcPr>
          <w:p>
            <w:r/>
            <w:r>
              <w:rPr>
                <w:sz w:val="17"/>
              </w:rPr>
              <w:t>Valuation and legal title reports for primary and collateral security.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☐ Pending</w:t>
            </w:r>
          </w:p>
        </w:tc>
        <w:tc>
          <w:tcPr>
            <w:tcW w:type="dxa" w:w="1871"/>
          </w:tcPr>
          <w:p>
            <w:pPr>
              <w:jc w:val="right"/>
            </w:pPr>
            <w:r/>
            <w:r>
              <w:rPr>
                <w:sz w:val="17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Annexure A - Financial Statements (standardised spread)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Balance sheet (₹ Cr)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FY2024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FY2025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Equity Share Capital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50.00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50.00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Other Equity (Reserves &amp; Surplus)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380.00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420.00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Total Equity (Net Worth)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430.00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470.00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Long-term Borrowings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260.00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380.00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Lease Liabilities (Non-current)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12.00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10.00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Long-term Provisions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7.00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8.00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Deferred Tax Liabilities (Net)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20.00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22.00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Short-term Borrowings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169.00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300.00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Trade Payables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190.00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210.00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Other Current Financial Liabilities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35.00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40.00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Other Current Liabilities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22.00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25.00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Short-term Provisions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4.00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5.00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Current Tax Liabilities (Net)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2.00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3.00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Total Current Liabilities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422.00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583.00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Total Equity &amp; Liabilities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1,151.00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1,473.00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Property, Plant &amp; Equipment (Net Block)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410.00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420.00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Capital Work-in-Progress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90.00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95.00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Right-of-Use Assets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14.00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12.00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Other Intangible Assets (incl. under development)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6.00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8.00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Non-current Investments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70.00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110.00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Non-current Loans &amp; Advances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85.00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Other Non-current Financial Assets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9.00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10.00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Capital Advances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8.00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30.00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Other Non-current Assets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12.00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15.00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Inventories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180.00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210.00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Trade Receivables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200.00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290.00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Cash &amp; Cash Equivalents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60.00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85.00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Other Bank Balances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30.00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35.00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Current Loans &amp; Advances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15.00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25.00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Other Current Financial Assets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15.00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18.00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Other Current Assets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22.00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25.00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Total Current Assets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522.00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688.00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Total Assets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1,151.00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1,473.00</w:t>
            </w:r>
          </w:p>
        </w:tc>
      </w:tr>
    </w:tbl>
    <w:p>
      <w:pPr>
        <w:spacing w:after="80"/>
      </w:pPr>
      <w:r>
        <w:rPr>
          <w:b w:val="0"/>
          <w:i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Profit &amp; loss and cash flow (₹ Cr)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FY2024</w:t>
            </w:r>
          </w:p>
        </w:tc>
        <w:tc>
          <w:tcPr>
            <w:tcW w:type="dxa" w:w="3324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FY2025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Revenue from Operations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1,250.00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1,350.00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Other Income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12.00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18.00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Total Income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1,262.00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1,368.00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Cost of Materials Consumed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760.00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820.00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Purchases of Stock-in-Trade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35.00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40.00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Changes in Inventories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(10.00)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(20.00)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Employee Benefits Expense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88.00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95.00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Finance Costs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45.00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62.00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Depreciation &amp; Amortisation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36.00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38.00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Other Expenses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170.00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185.00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Total Expenses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1,124.00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1,220.00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Profit Before Tax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138.00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148.00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Total Tax Expense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35.00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37.00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Profit After Tax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103.00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111.00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Net Cash from Operating Activities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120.00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35.00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Net Cash from Investing Activities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(58.80)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(171.40)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Net Cash from Financing Activities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(91.20)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161.40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Capex (Purchase of PPE &amp; Intangibles, outflow)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(40.00)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(48.00)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sz w:val="16"/>
              </w:rPr>
              <w:t>Dividend Paid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26.20</w:t>
            </w:r>
          </w:p>
        </w:tc>
        <w:tc>
          <w:tcPr>
            <w:tcW w:type="dxa" w:w="3324"/>
          </w:tcPr>
          <w:p>
            <w:pPr>
              <w:jc w:val="right"/>
            </w:pPr>
            <w:r/>
            <w:r>
              <w:rPr>
                <w:sz w:val="16"/>
              </w:rPr>
              <w:t>25.60</w:t>
            </w:r>
          </w:p>
        </w:tc>
      </w:tr>
    </w:tbl>
    <w:p>
      <w:pPr>
        <w:pStyle w:val="Heading1"/>
      </w:pPr>
      <w:r>
        <w:t>Annexure B - Ratio Definitions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2835"/>
        <w:gridCol w:w="3742"/>
        <w:gridCol w:w="1020"/>
      </w:tblGrid>
      <w:tr>
        <w:tc>
          <w:tcPr>
            <w:tcW w:type="dxa" w:w="2041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Ratio</w:t>
            </w:r>
          </w:p>
        </w:tc>
        <w:tc>
          <w:tcPr>
            <w:tcW w:type="dxa" w:w="2835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Definition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Interpretation</w:t>
            </w:r>
          </w:p>
        </w:tc>
        <w:tc>
          <w:tcPr>
            <w:tcW w:type="dxa" w:w="1020"/>
            <w:shd w:val="clear" w:color="auto" w:fill="1F3864"/>
          </w:tcPr>
          <w:p>
            <w:r/>
            <w:r>
              <w:rPr>
                <w:b/>
                <w:color w:val="FFFFFF"/>
                <w:sz w:val="15"/>
              </w:rPr>
              <w:t>Benchmark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Current Ratio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Short-term assets divided by short-term liabilities.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Shows whether bills due within a year can be paid from assets that turn into cash within a year. Banks like 1.33 or more.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≥ 1.33x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Quick Ratio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Current ratio without inventory.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A stricter liquidity test - stock may not sell quickly. Around 1.0 is comfortable.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≥ 1.00x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Cash Ratio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Cash and liquid investments divided by short-term liabilities.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How much of the short-term dues could be paid today from cash alone.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≥ 0.30x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Net Working Capital (Cr)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Current assets minus current liabilities (₹ Cr).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Positive = long-term money funds day-to-day needs (healthy). Negative = short-term borrowing is funding long-term assets (risky).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≥ 0.00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MPBF - Tandon Method II (Cr)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Maximum Permissible Bank Finance - Tandon Committee Method II (₹ Cr).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The ceiling for working-capital bank limits: 75% of current assets minus other current liabilities.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Debt / Equity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Total borrowings divided by the owners' money (net worth).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How much the company has borrowed for every ₹1 of its own money. Below 1x is conservative, above 2x is high.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≤ 1.00x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TOL / TNW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All outside liabilities divided by tangible net worth.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Banks' favourite leverage test - everything owed to outsiders vs the owners' real stake. 3x or less is the usual norm.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≤ 3.00x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Total Debt / EBITDA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Total debt divided by yearly operating profit (EBITDA).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Roughly how many years of operating profit it would take to repay all debt. Under 3 years is comfortable, above 5 is stretched.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≤ 3.00x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Net Debt / EBITDA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Debt minus cash, divided by EBITDA.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Same as above but gives credit for cash held. Negative = more cash than debt.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≤ 2.50x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Interest Coverage (EBIT / Finance cost)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Operating profit (EBIT) divided by interest cost.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How many times profit covers interest. Below 1.5x the company is struggling to pay interest.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≥ 3.00x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EBITDA / Finance cost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EBITDA divided by interest cost.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Interest cover before depreciation; 4x or more is strong.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≥ 4.00x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DSCR (approx.)</w:t>
            </w:r>
          </w:p>
        </w:tc>
        <w:tc>
          <w:tcPr>
            <w:tcW w:type="dxa" w:w="2835"/>
          </w:tcPr>
          <w:p>
            <w:pPr>
              <w:jc w:val="right"/>
            </w:pPr>
            <w:r/>
            <w:r>
              <w:rPr>
                <w:sz w:val="15"/>
              </w:rPr>
              <w:t>(Profit + depreciation + interest) ÷ (interest + loan instalments due this year).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Can yearly cash earnings pay all interest and principal falling due? Banks look for 1.25x-1.5x or more. Needs 'current maturities of LTD' to be entered.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≥ 1.50x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EBITDA Margin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Operating profit as a % of sales.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How much of every ₹100 of sales is left after running costs. Compare with industry peers.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≥ 12.0%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PAT Margin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Net profit as a % of sales.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What finally remains for owners from every ₹100 of sales.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≥ 6.0%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Return on Equity (closing)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Net profit divided by net worth.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Return the owners earn on their money. 15%+ is good.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≥ 15.0%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ROCE (EBIT / (Equity + Debt))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EBIT divided by (net worth + debt).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Return on all the money used in the business. Should be above the cost of borrowing.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≥ 15.0%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Return on Assets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Net profit divided by total assets.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How productively all assets generate profit.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≥ 6.0%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Asset Turnover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Sales divided by total assets.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Sales generated for every ₹1 of assets.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≥ 1.00x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Fixed Asset Turnover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Sales divided by net fixed assets (plant, machinery, buildings).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How well the plant and machinery are being used. Very high values are normal for service/trading firms.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≥ 2.00x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Debtor Days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Trade receivables ÷ sales × 365.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Average days customers take to pay. Rising days = slower collection or doubtful sales.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≤ 60 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Inventory Days (on COGS)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Inventory ÷ cost of goods × 365.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Days of stock held. Rising days = slow-moving or inflated stock.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≤ 60 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Creditor Days (on COGS)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Trade payables ÷ cost of goods × 365.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Days the company takes to pay suppliers. Very high may mean it is stretching suppliers because cash is short.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Cash Conversion Cycle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Debtor days + inventory days - creditor days.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Days of working capital the company must finance itself. Shorter is better.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≤ 60 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CFO / EBITDA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Cash from operations divided by EBITDA.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Is reported profit actually arriving as cash? Below 0.5 is a warning sign.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≥ 0.70x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CFO / PAT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Cash from operations divided by net profit.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Above 1 = profits are backed by cash. Persistently below 1 = paper profits.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≥ 1.00x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Free Cash Flow (Cr)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Cash from operations minus capital expenditure (₹ Cr).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Cash left after investing in the business - available to repay debt.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≥ 0.00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Other Income / PBT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Other income as a % of profit before tax.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If high, profit comes from treasury/one-offs, not the core business.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≤ 15.0%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Effective Tax Rate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Tax expense as a % of profit before tax.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Normal is around 25%. Very low tax on high profit can mean profits are not real or are sheltered.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18.0%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Implied Cost of Debt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Interest cost divided by total debt.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Effective borrowing rate. Too low = possible hidden or capitalised interest; too high = costly private/NBFC money.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  <w:t>6.0%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Yield on Liquid Funds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Interest income divided by cash and liquid investments.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Cash should earn some interest. A very low yield on large cash can mean the cash is blocked, pledged or not real.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≥ 4.0%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Loans &amp; Advances / Net Worth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Loans and advances given by the company as a % of its net worth.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Lending money is not a manufacturer's business - high values may indicate funds moved to group companies.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≤ 10.0%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Non-current Investments / Net Worth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Long-term investments as a % of net worth.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Money put into subsidiaries/associates - outside the bank's security.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≤ 25.0%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Contingent Liabilities / Net Worth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Contingent liabilities (incl. guarantees) as a % of net worth.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Possible future liabilities (court cases, tax demands, guarantees). Above 50% of net worth is serious.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≤ 25.0%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CWIP / Net Block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Capital work-in-progress as a % of net fixed assets.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Projects not yet complete. If large and not falling, projects may be stuck or money diverted.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≤ 20.0%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Related-party Sales+Purchases / Revenue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Sales + purchases with related parties as a % of revenue.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High share = business depends on group firms; risk of profit shifting / round-tripping.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≤ 10.0%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Revenue Growth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Change in sales vs last year.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Is the business growing?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≥ 10.0%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EBITDA Growth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Change in operating profit vs last year.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Is profit growing along with sales?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≥ 10.0%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PAT Growth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Change in net profit vs last year.</w:t>
            </w:r>
          </w:p>
        </w:tc>
        <w:tc>
          <w:tcPr>
            <w:tcW w:type="dxa" w:w="3742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≥ 10.0%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Debt Growth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Change in total borrowings vs last year.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Compare with growth in sales and assets - debt rising faster is a warning.</w:t>
            </w:r>
          </w:p>
        </w:tc>
        <w:tc>
          <w:tcPr>
            <w:tcW w:type="dxa" w:w="1020"/>
          </w:tcPr>
          <w:p>
            <w:pPr>
              <w:jc w:val="right"/>
            </w:pPr>
            <w:r/>
            <w:r>
              <w:rPr>
                <w:sz w:val="15"/>
              </w:rPr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Receivable growth minus Revenue growth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Growth in receivables minus growth in sales.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If receivables grow much faster than sales, sales may be inflated or customers are not paying.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≤ 10.0%</w:t>
            </w:r>
          </w:p>
        </w:tc>
      </w:tr>
      <w:tr>
        <w:tc>
          <w:tcPr>
            <w:tcW w:type="dxa" w:w="2041"/>
          </w:tcPr>
          <w:p>
            <w:r/>
            <w:r>
              <w:rPr>
                <w:sz w:val="15"/>
              </w:rPr>
              <w:t>Altman Z'' (emerging-market)</w:t>
            </w:r>
          </w:p>
        </w:tc>
        <w:tc>
          <w:tcPr>
            <w:tcW w:type="dxa" w:w="2835"/>
          </w:tcPr>
          <w:p>
            <w:r/>
            <w:r>
              <w:rPr>
                <w:sz w:val="15"/>
              </w:rPr>
              <w:t>Altman Z'' score (emerging-market version) combining liquidity, retained profit, earnings and leverage.</w:t>
            </w:r>
          </w:p>
        </w:tc>
        <w:tc>
          <w:tcPr>
            <w:tcW w:type="dxa" w:w="3742"/>
          </w:tcPr>
          <w:p>
            <w:r/>
            <w:r>
              <w:rPr>
                <w:sz w:val="15"/>
              </w:rPr>
              <w:t>Above 2.6 = safe zone; 1.1-2.6 = grey zone; below 1.1 = distress zone (higher default risk).</w:t>
            </w:r>
          </w:p>
        </w:tc>
        <w:tc>
          <w:tcPr>
            <w:tcW w:type="dxa" w:w="1020"/>
          </w:tcPr>
          <w:p>
            <w:r/>
            <w:r>
              <w:rPr>
                <w:sz w:val="15"/>
              </w:rPr>
              <w:t>≥ 2.60x</w:t>
            </w:r>
          </w:p>
        </w:tc>
      </w:tr>
    </w:tbl>
    <w:p>
      <w:pPr>
        <w:spacing w:after="40"/>
      </w:pPr>
      <w:r>
        <w:rPr>
          <w:b/>
          <w:i w:val="0"/>
          <w:sz w:val="21"/>
        </w:rPr>
        <w:t>Scores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551"/>
        <w:gridCol w:w="7087"/>
      </w:tblGrid>
      <w:tr>
        <w:tc>
          <w:tcPr>
            <w:tcW w:type="dxa" w:w="2551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7087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Internal credit score (0-100)</w:t>
            </w:r>
          </w:p>
        </w:tc>
        <w:tc>
          <w:tcPr>
            <w:tcW w:type="dxa" w:w="7087"/>
          </w:tcPr>
          <w:p>
            <w:r/>
            <w:r>
              <w:rPr>
                <w:sz w:val="16"/>
              </w:rPr>
              <w:t>Our model's overall score: 70 points from key ratios versus bank norms, plus 30 points reduced for each red flag (High -6, Medium -3, Low -1). Grades CI-1 (very low risk) to CI-7 (very high risk).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Beneish M-score</w:t>
            </w:r>
          </w:p>
        </w:tc>
        <w:tc>
          <w:tcPr>
            <w:tcW w:type="dxa" w:w="7087"/>
          </w:tcPr>
          <w:p>
            <w:r/>
            <w:r>
              <w:rPr>
                <w:sz w:val="16"/>
              </w:rPr>
              <w:t>A statistical test for earnings manipulation using 8 accounting indicators. Above -1.78 suggests the accounts may be manipulated.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Piotroski F-score (0-9)</w:t>
            </w:r>
          </w:p>
        </w:tc>
        <w:tc>
          <w:tcPr>
            <w:tcW w:type="dxa" w:w="7087"/>
          </w:tcPr>
          <w:p>
            <w:r/>
            <w:r>
              <w:rPr>
                <w:sz w:val="16"/>
              </w:rPr>
              <w:t>Nine yes/no tests of financial strength (profitability, leverage, efficiency). 7-9 strong, 0-3 weak.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Altman Z''</w:t>
            </w:r>
          </w:p>
        </w:tc>
        <w:tc>
          <w:tcPr>
            <w:tcW w:type="dxa" w:w="7087"/>
          </w:tcPr>
          <w:p>
            <w:r/>
            <w:r>
              <w:rPr>
                <w:sz w:val="16"/>
              </w:rPr>
              <w:t>Bankruptcy-risk score for emerging-market companies. Below 1.1 = distress zone.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6"/>
              </w:rPr>
              <w:t>PCAF financed emissions</w:t>
            </w:r>
          </w:p>
        </w:tc>
        <w:tc>
          <w:tcPr>
            <w:tcW w:type="dxa" w:w="7087"/>
          </w:tcPr>
          <w:p>
            <w:r/>
            <w:r>
              <w:rPr>
                <w:sz w:val="16"/>
              </w:rPr>
              <w:t>The share of the company's greenhouse-gas emissions attributable to the bank's loan = (loan ÷ company's equity + debt) × company emissions. Data quality score 1 (best, verified) to 5 (rough estimate).</w:t>
            </w:r>
          </w:p>
        </w:tc>
      </w:tr>
    </w:tbl>
    <w:p>
      <w:pPr>
        <w:pStyle w:val="Heading1"/>
      </w:pPr>
      <w:r>
        <w:t>Annexure C - Sources, Method and Processing Cost</w:t>
      </w:r>
    </w:p>
    <w:p>
      <w:pPr>
        <w:pStyle w:val="ListBullet"/>
        <w:spacing w:after="40"/>
      </w:pPr>
      <w:r>
        <w:rPr>
          <w:sz w:val="18"/>
        </w:rPr>
        <w:t>Financial statements: Sample_Annual_Report_DeccanPolyfab_FY25.pdf (extraction: rule-based reader).</w:t>
      </w:r>
    </w:p>
    <w:p>
      <w:pPr>
        <w:pStyle w:val="ListBullet"/>
        <w:spacing w:after="40"/>
      </w:pPr>
      <w:r>
        <w:rPr>
          <w:sz w:val="18"/>
        </w:rPr>
        <w:t>BRSR: heuristic.</w:t>
      </w:r>
    </w:p>
    <w:p>
      <w:pPr>
        <w:pStyle w:val="ListBullet"/>
        <w:spacing w:after="40"/>
      </w:pPr>
      <w:r>
        <w:rPr>
          <w:sz w:val="18"/>
        </w:rPr>
        <w:t>News: 0 items (Google News RSS and configured sources).</w:t>
      </w:r>
    </w:p>
    <w:p>
      <w:pPr>
        <w:pStyle w:val="ListBullet"/>
        <w:spacing w:after="40"/>
      </w:pPr>
      <w:r>
        <w:rPr>
          <w:sz w:val="18"/>
        </w:rPr>
        <w:t>AI models used: none (rule-based only).</w:t>
      </w:r>
    </w:p>
    <w:p>
      <w:pPr>
        <w:pStyle w:val="ListBullet"/>
        <w:spacing w:after="40"/>
      </w:pPr>
      <w:r>
        <w:rPr>
          <w:sz w:val="18"/>
        </w:rPr>
        <w:t>Processing cost: ₹0 (rule-based only).</w:t>
      </w:r>
    </w:p>
    <w:p>
      <w:pPr>
        <w:pStyle w:val="ListBullet"/>
        <w:spacing w:after="40"/>
      </w:pPr>
      <w:r>
        <w:rPr>
          <w:sz w:val="18"/>
        </w:rPr>
        <w:t>Ratios, scores and forensic tests are computed deterministically; AI is used only to read documents and draft narrative.</w:t>
      </w:r>
    </w:p>
    <w:p>
      <w:pPr>
        <w:pStyle w:val="ListBullet"/>
        <w:spacing w:after="40"/>
      </w:pPr>
      <w:r>
        <w:rPr>
          <w:sz w:val="18"/>
        </w:rPr>
        <w:t>Benchmarks are generic bank norms; apply the bank's credit policy and sector-specific norms.</w:t>
      </w:r>
    </w:p>
    <w:p>
      <w:pPr>
        <w:spacing w:after="160"/>
      </w:pPr>
      <w:r>
        <w:rPr>
          <w:b w:val="0"/>
          <w:i/>
          <w:color w:val="595959"/>
          <w:sz w:val="17"/>
        </w:rPr>
        <w:t>Disclaimer: This memorandum is decision support and does not constitute a sanction. Automated extraction can misread scanned documents; material figures must be verified against the audited financial statements.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95959"/>
        <w:sz w:val="15"/>
      </w:rPr>
      <w:t xml:space="preserve">Prepared with Credit Intelligence Workbench - decision support; verify against audited statements. 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STRICTLY CONFIDENTIAL  |  Credit Appraisal Memorandum  |  Deccan Polyfab Industries Ltd (fictional sample)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